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12,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333-264577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3</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F-3</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Burning Rock Biotech Limited</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tbl>
      <w:tblPr>
        <w:tblLayout w:type="fixed"/>
        <w:tblInd w:w="880" w:type="dxa"/>
        <w:tblCellMar>
          <w:top w:w="0" w:type="dxa"/>
          <w:left w:w="0" w:type="dxa"/>
          <w:bottom w:w="0" w:type="dxa"/>
          <w:right w:w="0" w:type="dxa"/>
        </w:tblCellMar>
      </w:tblPr>
      <w:tr>
        <w:trPr>
          <w:trHeight w:val="194"/>
        </w:trPr>
        <w:tc>
          <w:tcPr>
            <w:tcW w:w="4860" w:type="dxa"/>
            <w:vAlign w:val="bottom"/>
          </w:tcPr>
          <w:p>
            <w:pPr>
              <w:jc w:val="center"/>
              <w:ind w:right="743"/>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48"/>
        </w:trPr>
        <w:tc>
          <w:tcPr>
            <w:tcW w:w="4860" w:type="dxa"/>
            <w:vAlign w:val="bottom"/>
          </w:tcPr>
          <w:p>
            <w:pPr>
              <w:jc w:val="center"/>
              <w:ind w:right="74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20" w:type="dxa"/>
            <w:vAlign w:val="bottom"/>
          </w:tcPr>
          <w:p>
            <w:pPr>
              <w:jc w:val="center"/>
              <w:ind w:left="74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60" w:type="dxa"/>
            <w:vAlign w:val="bottom"/>
          </w:tcPr>
          <w:p>
            <w:pPr>
              <w:jc w:val="center"/>
              <w:ind w:right="7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1"/>
        </w:trPr>
        <w:tc>
          <w:tcPr>
            <w:tcW w:w="4860" w:type="dxa"/>
            <w:vAlign w:val="bottom"/>
          </w:tcPr>
          <w:p>
            <w:pPr>
              <w:jc w:val="center"/>
              <w:ind w:right="743"/>
              <w:spacing w:after="0"/>
              <w:rPr>
                <w:sz w:val="20"/>
                <w:szCs w:val="20"/>
                <w:color w:val="auto"/>
              </w:rPr>
            </w:pPr>
            <w:r>
              <w:rPr>
                <w:rFonts w:ascii="Times New Roman" w:cs="Times New Roman" w:eastAsia="Times New Roman" w:hAnsi="Times New Roman"/>
                <w:sz w:val="16"/>
                <w:szCs w:val="16"/>
                <w:b w:val="1"/>
                <w:bCs w:val="1"/>
                <w:color w:val="auto"/>
              </w:rPr>
              <w:t>No. 5, Xingdao Ring Road North, International Bio Island,</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203"/>
        </w:trPr>
        <w:tc>
          <w:tcPr>
            <w:tcW w:w="4860" w:type="dxa"/>
            <w:vAlign w:val="bottom"/>
          </w:tcPr>
          <w:p>
            <w:pPr>
              <w:jc w:val="center"/>
              <w:ind w:right="743"/>
              <w:spacing w:after="0"/>
              <w:rPr>
                <w:sz w:val="20"/>
                <w:szCs w:val="20"/>
                <w:color w:val="auto"/>
              </w:rPr>
            </w:pPr>
            <w:r>
              <w:rPr>
                <w:rFonts w:ascii="Times New Roman" w:cs="Times New Roman" w:eastAsia="Times New Roman" w:hAnsi="Times New Roman"/>
                <w:sz w:val="16"/>
                <w:szCs w:val="16"/>
                <w:b w:val="1"/>
                <w:bCs w:val="1"/>
                <w:color w:val="auto"/>
              </w:rPr>
              <w:t>Guangzhou, 510005</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tc>
      </w:tr>
      <w:tr>
        <w:trPr>
          <w:trHeight w:val="202"/>
        </w:trPr>
        <w:tc>
          <w:tcPr>
            <w:tcW w:w="4860" w:type="dxa"/>
            <w:vAlign w:val="bottom"/>
          </w:tcPr>
          <w:p>
            <w:pPr>
              <w:jc w:val="center"/>
              <w:ind w:right="763"/>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w w:val="99"/>
              </w:rPr>
              <w:t>New York, NY 10168</w:t>
            </w:r>
          </w:p>
        </w:tc>
      </w:tr>
      <w:tr>
        <w:trPr>
          <w:trHeight w:val="207"/>
        </w:trPr>
        <w:tc>
          <w:tcPr>
            <w:tcW w:w="4860" w:type="dxa"/>
            <w:vAlign w:val="bottom"/>
          </w:tcPr>
          <w:p>
            <w:pPr>
              <w:jc w:val="center"/>
              <w:ind w:right="743"/>
              <w:spacing w:after="0"/>
              <w:rPr>
                <w:sz w:val="20"/>
                <w:szCs w:val="20"/>
                <w:color w:val="auto"/>
              </w:rPr>
            </w:pPr>
            <w:r>
              <w:rPr>
                <w:rFonts w:ascii="Times New Roman" w:cs="Times New Roman" w:eastAsia="Times New Roman" w:hAnsi="Times New Roman"/>
                <w:sz w:val="16"/>
                <w:szCs w:val="16"/>
                <w:b w:val="1"/>
                <w:bCs w:val="1"/>
                <w:color w:val="auto"/>
              </w:rPr>
              <w:t>+86 020-3403 7871</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rPr>
              <w:t>United States of America</w:t>
            </w:r>
          </w:p>
        </w:tc>
      </w:tr>
      <w:tr>
        <w:trPr>
          <w:trHeight w:val="148"/>
        </w:trPr>
        <w:tc>
          <w:tcPr>
            <w:tcW w:w="4860" w:type="dxa"/>
            <w:vAlign w:val="bottom"/>
          </w:tcPr>
          <w:p>
            <w:pPr>
              <w:jc w:val="center"/>
              <w:ind w:right="743"/>
              <w:spacing w:after="0" w:line="149" w:lineRule="exact"/>
              <w:rPr>
                <w:sz w:val="20"/>
                <w:szCs w:val="20"/>
                <w:color w:val="auto"/>
              </w:rPr>
            </w:pPr>
            <w:r>
              <w:rPr>
                <w:rFonts w:ascii="Times New Roman" w:cs="Times New Roman" w:eastAsia="Times New Roman" w:hAnsi="Times New Roman"/>
                <w:sz w:val="14"/>
                <w:szCs w:val="14"/>
                <w:b w:val="1"/>
                <w:bCs w:val="1"/>
                <w:color w:val="auto"/>
              </w:rPr>
              <w:t>(Address and telephone number of</w:t>
            </w:r>
          </w:p>
        </w:tc>
        <w:tc>
          <w:tcPr>
            <w:tcW w:w="4620" w:type="dxa"/>
            <w:vAlign w:val="bottom"/>
          </w:tcPr>
          <w:p>
            <w:pPr>
              <w:jc w:val="center"/>
              <w:ind w:left="743"/>
              <w:spacing w:after="0" w:line="149" w:lineRule="exact"/>
              <w:rPr>
                <w:sz w:val="20"/>
                <w:szCs w:val="20"/>
                <w:color w:val="auto"/>
              </w:rPr>
            </w:pPr>
            <w:r>
              <w:rPr>
                <w:rFonts w:ascii="Times New Roman" w:cs="Times New Roman" w:eastAsia="Times New Roman" w:hAnsi="Times New Roman"/>
                <w:sz w:val="14"/>
                <w:szCs w:val="14"/>
                <w:b w:val="1"/>
                <w:bCs w:val="1"/>
                <w:color w:val="auto"/>
              </w:rPr>
              <w:t>(1) 800 221-0102</w:t>
            </w:r>
          </w:p>
        </w:tc>
      </w:tr>
      <w:tr>
        <w:trPr>
          <w:trHeight w:val="190"/>
        </w:trPr>
        <w:tc>
          <w:tcPr>
            <w:tcW w:w="4860" w:type="dxa"/>
            <w:vAlign w:val="bottom"/>
          </w:tcPr>
          <w:p>
            <w:pPr>
              <w:jc w:val="center"/>
              <w:ind w:right="763"/>
              <w:spacing w:after="0"/>
              <w:rPr>
                <w:sz w:val="20"/>
                <w:szCs w:val="20"/>
                <w:color w:val="auto"/>
              </w:rPr>
            </w:pPr>
            <w:r>
              <w:rPr>
                <w:rFonts w:ascii="Times New Roman" w:cs="Times New Roman" w:eastAsia="Times New Roman" w:hAnsi="Times New Roman"/>
                <w:sz w:val="14"/>
                <w:szCs w:val="14"/>
                <w:b w:val="1"/>
                <w:bCs w:val="1"/>
                <w:color w:val="auto"/>
              </w:rPr>
              <w:t>Registrant’s principal executive offices)</w:t>
            </w:r>
          </w:p>
        </w:tc>
        <w:tc>
          <w:tcPr>
            <w:tcW w:w="4620" w:type="dxa"/>
            <w:vAlign w:val="bottom"/>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(Name, Address, and Telephone Number for Agent of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Shuang Zhao</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Cleary Gottlieb Steen &amp; Hamilton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 37th Floor, Hysan Place</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500 Hennessy Road, Causeway Bay</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Hong Kong</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+852 2532 3783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0" w:lineRule="exact"/>
        <w:rPr>
          <w:sz w:val="24"/>
          <w:szCs w:val="24"/>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this registration statement, as determined by market conditions and other factors.</w:t>
      </w:r>
    </w:p>
    <w:p>
      <w:pPr>
        <w:spacing w:after="0" w:line="3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3" w:lineRule="exact"/>
        <w:rPr>
          <w:sz w:val="24"/>
          <w:szCs w:val="24"/>
          <w:color w:val="auto"/>
        </w:rPr>
      </w:pPr>
    </w:p>
    <w:p>
      <w:pPr>
        <w:ind w:left="120" w:right="3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01" w:lineRule="exact"/>
        <w:rPr>
          <w:sz w:val="24"/>
          <w:szCs w:val="24"/>
          <w:color w:val="auto"/>
        </w:rPr>
      </w:pPr>
    </w:p>
    <w:p>
      <w:pPr>
        <w:ind w:left="91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3" w:lineRule="exact"/>
        <w:rPr>
          <w:sz w:val="24"/>
          <w:szCs w:val="24"/>
          <w:color w:val="auto"/>
        </w:rPr>
      </w:pPr>
    </w:p>
    <w:p>
      <w:pPr>
        <w:ind w:left="120" w:right="260" w:firstLine="44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92" w:lineRule="exact"/>
        <w:rPr>
          <w:sz w:val="24"/>
          <w:szCs w:val="24"/>
          <w:color w:val="auto"/>
        </w:rPr>
      </w:pPr>
    </w:p>
    <w:p>
      <w:pPr>
        <w:ind w:left="340" w:right="160" w:hanging="224"/>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2" w:lineRule="exact"/>
        <w:rPr>
          <w:sz w:val="24"/>
          <w:szCs w:val="24"/>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41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right="40"/>
        <w:spacing w:after="0" w:line="243" w:lineRule="auto"/>
        <w:rPr>
          <w:sz w:val="20"/>
          <w:szCs w:val="20"/>
          <w:color w:val="auto"/>
        </w:rPr>
      </w:pPr>
      <w:r>
        <w:rPr>
          <w:rFonts w:ascii="Times New Roman" w:cs="Times New Roman" w:eastAsia="Times New Roman" w:hAnsi="Times New Roman"/>
          <w:sz w:val="13"/>
          <w:szCs w:val="13"/>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these securities and itis not soliciting an offer to buy these securities in any jurisdiction where the offer or sale is not permitted.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b w:val="1"/>
          <w:bCs w:val="1"/>
          <w:color w:val="FF4338"/>
        </w:rPr>
        <w:t>SUBJECT TO COMPLETION, DATED SEPTEMBER 12, 2022</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33655</wp:posOffset>
            </wp:positionV>
            <wp:extent cx="1663065"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0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Burning Rock Biotech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190500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182880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We may offer and sell Class A ordinary shares, par value US$0.0002 per share, including American depositary shares, or ADSs, each representing one Class A ordinary share, debt securities or warrants in any combination from time to time in one or more offerings, at prices and on terms described in one or more supplements to this prospectus. In addition, this prospectus may be used to offer securities for the account of persons other than us.</w:t>
      </w:r>
    </w:p>
    <w:p>
      <w:pPr>
        <w:spacing w:after="0" w:line="110"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Each time we or any selling security holder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carefully before you invest in any of our securities.</w:t>
      </w:r>
    </w:p>
    <w:p>
      <w:pPr>
        <w:spacing w:after="0" w:line="102"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6"/>
          <w:szCs w:val="16"/>
          <w:color w:val="auto"/>
        </w:rPr>
        <w:t>We or any selling security holder may sell the securities independently or together with any other securities registered hereunder to or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15" w:lineRule="exact"/>
        <w:rPr>
          <w:sz w:val="20"/>
          <w:szCs w:val="20"/>
          <w:color w:val="auto"/>
        </w:rPr>
      </w:pPr>
    </w:p>
    <w:p>
      <w:pPr>
        <w:jc w:val="both"/>
        <w:ind w:left="120" w:right="280" w:firstLine="440"/>
        <w:spacing w:after="0" w:line="281" w:lineRule="auto"/>
        <w:rPr>
          <w:sz w:val="20"/>
          <w:szCs w:val="20"/>
          <w:color w:val="auto"/>
        </w:rPr>
      </w:pPr>
      <w:r>
        <w:rPr>
          <w:rFonts w:ascii="Times New Roman" w:cs="Times New Roman" w:eastAsia="Times New Roman" w:hAnsi="Times New Roman"/>
          <w:sz w:val="16"/>
          <w:szCs w:val="16"/>
          <w:color w:val="auto"/>
        </w:rPr>
        <w:t>The principal executive offices of Burning Rock Biotech Limited is located at No.5, Xingdao Ring Road North, International Bio Island, Guangzhou, People’s Republic of China, and its telephone number at that address is +86 020-3403 7871. The registered address of Burning Rock Biotech Limited in the Cayman Islands is located at the offices of Maples Corporate Services Limited at PO Box 309, Ugland House, Grand Cayman, KY1-1104, Cayman Islands.</w:t>
      </w:r>
    </w:p>
    <w:p>
      <w:pPr>
        <w:spacing w:after="0" w:line="110" w:lineRule="exact"/>
        <w:rPr>
          <w:sz w:val="20"/>
          <w:szCs w:val="20"/>
          <w:color w:val="auto"/>
        </w:rPr>
      </w:pPr>
    </w:p>
    <w:p>
      <w:pPr>
        <w:jc w:val="both"/>
        <w:ind w:left="120" w:right="300" w:firstLine="440"/>
        <w:spacing w:after="0" w:line="298" w:lineRule="auto"/>
        <w:rPr>
          <w:sz w:val="20"/>
          <w:szCs w:val="20"/>
          <w:color w:val="auto"/>
        </w:rPr>
      </w:pPr>
      <w:r>
        <w:rPr>
          <w:rFonts w:ascii="Times New Roman" w:cs="Times New Roman" w:eastAsia="Times New Roman" w:hAnsi="Times New Roman"/>
          <w:sz w:val="16"/>
          <w:szCs w:val="16"/>
          <w:color w:val="auto"/>
        </w:rPr>
        <w:t>Our ADSs are currently listed on the NASDAQ Global Market under the symbol “BNR.” On September 9, 2022, the closing price of our ADSs on the Nasdaq Global Market was US$3.59 per ADS. Each ADS represents one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5" w:lineRule="exact"/>
        <w:rPr>
          <w:sz w:val="20"/>
          <w:szCs w:val="20"/>
          <w:color w:val="auto"/>
        </w:rPr>
      </w:pPr>
    </w:p>
    <w:p>
      <w:pPr>
        <w:ind w:left="120" w:right="2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You should read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section in the applicable prospectus supplement, any related free writing prospectus and the documents we incorporate by reference in this prospectus before investing in our securities.</w:t>
      </w:r>
    </w:p>
    <w:p>
      <w:pPr>
        <w:spacing w:after="0" w:line="8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6"/>
          <w:szCs w:val="16"/>
          <w:color w:val="auto"/>
        </w:rPr>
        <w:t>We are not a Chinese operating company but a holding company incorporated in the Cayman Islands. As a holding company with no material operations of our own, we conduct substantially all of our business through contractual arrangements with the variable interest entity, or VIE, and its subsidiaries. While we do not have the equity ownership of the VIE, these contractual arrangements enable us to receive the economic benefits that could potentially be significant to the VIE in consideration for the services provided by our subsidiaries, and hold an exclusive option to purchase all or part of the equity interests in and assets of the VIE when and to the extent permitted by PRC law. Because of these contractual arrangements, we are the primary beneficiary of the VIE and hence consolidate its financial results with ours under U.S. GAAP. Investors in our ADSs thus are not purchasing equity interest in our operating entities in China but instead are purchasing equity interest in a Cayman Islands holding company. The securities offered in this prospectus are securities of our Cayman Islands holding company, not of our operating subsidiaries or the VIEs. As used in this prospectus, “we,” “us,” “our company,” “our,” or “the Company” refers to Burning Rock Biotech Limited and its subsidiaries, “the VIE” refers to our PRC variable interest entity, Burning Rock (Beijing) Biotechnology Co. Ltd. and “the VIEs” refers to the VIE and its subsidiaries.</w:t>
      </w:r>
    </w:p>
    <w:p>
      <w:pPr>
        <w:spacing w:after="0" w:line="122" w:lineRule="exact"/>
        <w:rPr>
          <w:sz w:val="20"/>
          <w:szCs w:val="20"/>
          <w:color w:val="auto"/>
        </w:rPr>
      </w:pPr>
    </w:p>
    <w:p>
      <w:pPr>
        <w:ind w:left="120" w:right="240" w:firstLine="440"/>
        <w:spacing w:after="0" w:line="298" w:lineRule="auto"/>
        <w:rPr>
          <w:sz w:val="20"/>
          <w:szCs w:val="20"/>
          <w:color w:val="auto"/>
        </w:rPr>
      </w:pPr>
      <w:r>
        <w:rPr>
          <w:rFonts w:ascii="Times New Roman" w:cs="Times New Roman" w:eastAsia="Times New Roman" w:hAnsi="Times New Roman"/>
          <w:sz w:val="16"/>
          <w:szCs w:val="16"/>
          <w:color w:val="auto"/>
        </w:rPr>
        <w:t>Pursuant to the Special Administrative Measures for Access of Foreign Investment, or the Negative List (2021 Edition), as issued by the National Development and Reform Commission (NDRC) and the Ministry of Finance (MOFCOM) and</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6"/>
          <w:szCs w:val="16"/>
          <w:color w:val="auto"/>
        </w:rPr>
        <w:t>amended from time to time, PRC laws and regulations prohibit direct foreign investment in the field of research, development, and application of genomic diagnosis and treatment technology. To comply with PRC laws and regulations, we conduct our operations in China primarily through contractual arrangements with the VIE, which hold the licenses, permits and approvals that are necessary for our business operations in the PRC. The VIE structure is used to replicate foreign investment in China-based companies where the PRC law prohibits direct foreign investment in the operating companies.</w:t>
      </w:r>
    </w:p>
    <w:p>
      <w:pPr>
        <w:spacing w:after="0" w:line="11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6"/>
          <w:szCs w:val="16"/>
          <w:color w:val="auto"/>
        </w:rPr>
        <w:t>Our corporate structure is subject to risks associated with our contractual arrangements with the VIE. The Company and its investors may never directly hold equity interests in the businesses that are conducted by the VIEs. Uncertainties in the PRC legal system could limit our ability to enforce these contractual arrangements, and these contractual arrangements have not been tested in a court of law. Because we do not hold equity interests in the VIEs, we are subject to risks due to the uncertainty of the interpretation and application of the PRC laws and regulations regarding the VIEs and the VIE structure, including regulatory review of overseas listing of PRC companies through a special purpose vehicle, and the validity and enforcement of the contractual arrangements with the VIE. We are also subject to the risk that the PRC government could disallow the VIE structure. If these regulations or the interpretation of existing regulations change or are interpreted differently in the future, we and the VIE could be subject to severe penalties or be forced to relinquish our interests in those operations. This would result in the VIE being deconsolidated. The majority of our assets, including the necessary licenses to conduct business in China, are held by the VIE. A significant part of our revenues is generated by the VIE. An event that results in the deconsolidation of the VIE would have a material effect on our operations and result in the value of the securities diminish substantially or even become worthless. Our holding company, our PRC subsidiary and the VIE, and our investors face uncertainty about potential future actions by the PRC government that could affect the enforceability of the contractual arrangements with the VIE and, consequently, significantly affect the financial performance of the VIE and our Company as a whole. As a result, the value of our securities may depreciate significantly or become worthless. For a detailed description of the risks associated with our corporate structure, “Item 3.D. Key Information—Risks Associated with Our Corporate Structure” in our annual report on Form 20-F for 2021 filed with the SEC on April 29, 2022 (the “2021 Form 20-F”) and “Risk Factors—Risks Related to Our Corporate Structure” in this prospectus.</w:t>
      </w:r>
    </w:p>
    <w:p>
      <w:pPr>
        <w:spacing w:after="0" w:line="1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6"/>
          <w:szCs w:val="16"/>
          <w:color w:val="auto"/>
        </w:rPr>
        <w:t>Additionally, we are subject to certain legal and operational risks associated with the operations of our subsidiaries and the VIEs in the PRC. PRC laws and regulations governing our current business operations are sometimes vague and uncertain, and therefore, these risks may result in a material negative change in our subsidiaries’ and the VIEs’ operations, significant depreciation of the value of our ADSs, or a complete hindrance of our ability to offer or continue to offer our securities to investors, which could cause the value of your securities to become worthless. Recently, the PRC government initiated a series of regulatory actions and statements to regulate business operations in the PRC with little advance notice, including cracking down on illegal activities in the securities market, enhancing supervision over PRC-based companies listed overseas using the VIE structure, adopting new measures to extend the scope of cybersecurity reviews, and expanding the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of such modified or new laws and regulations will have on our daily business operation, the ability to accept foreign investments and list on a U.S. or other foreign exchange. For a detailed description of risks related to doing business in China, see “Item 3.D. Key Information—Risks Associated with Being Based in or Having the Majority of the Operations in China” in our 2021 Form 20-F and “Risk Factors—Risks Relating to Doing Business in the PRC— 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in this prospectus</w:t>
      </w:r>
    </w:p>
    <w:p>
      <w:pPr>
        <w:spacing w:after="0" w:line="11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6"/>
          <w:szCs w:val="16"/>
          <w:color w:val="auto"/>
        </w:rPr>
        <w:t>In addition, as early as 2024, our securities could be prohibited from trading on a national exchange or over-the-counter under the Holding Foreign Companies Accountable Act, or the HFCA Act, if the Public Company Accounting Oversight Board, or the PCAOB, is unable to inspect or fully investigate our independent registered public accounting firm located in China for three consecutive years beginning in 2021. The trading prohibition could be accelerated to 2023 if the Accelerating Holding Foreign Companies Accountable Act is enacted. Our independent registered public accounting firm that issued the audit report included in our annual report filed with the SEC,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Because we have substantial operations within the PRC and the PCAOB is currently unable to conduct full inspections of the work of our independent registered public accounting firm as it relates to those operations without the approval of the Chinese authorities, our independent registered public accounting firm is not currently inspected by the PCAOB. This lack of PCAOB inspections in the PRC prevents the PCAOB from regularly evaluating our independent registered public accounting firm’s audits and its quality control procedures, and our independent registered public accounting firm is therefore subject to the determinations announced by the PCAOB on December 16, 2021. In March 2022, the SEC issued its first “Conclusive list of issuers identified under the HFCAA” indicating that those companies are now formally subject to the delisting provisions if they remain on the list for three consecutive years. We were provisionally identified by the SEC on May 4, 2022 under the HFCA Act and were conclusively identified on May 25, 2022. See https:// www.sec.gov/hfcaa. Such risks could result in a material change in our operations and/or the value of our ADSs or could significantly limit or completely hinder our ability to offer or continue to offer ADSs and/or other securities to investors and cause the value of such securities to significantly decline or be</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6"/>
          <w:szCs w:val="16"/>
          <w:color w:val="auto"/>
        </w:rPr>
        <w:t>worthless. As a result, investors are deprived of the benefits of PCAOB inspections. 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For a detailed description of risks related to HFCA Act, see “Item 3.D. Key Information—Risks Associated with the Holding Foreign Companies Accountable Act” in our 2021 Form 20-F and see “Risk Factors—Risks Relating to Doing Business in the PRC— If the U.S. Public Company Accounting Oversight Board, or the PCAOB, is unable to inspect our auditors as required under the Holding Foreign Companies Accountable Act, the SEC will prohibit the trading of our ADSs. A trading prohibition for our ADSs, or the threat of a trading prohibition, may materially and adversely affect the value of your investment. Additionally, the inability of the PCAOB to conduct inspections of our auditors deprives our investors of the benefits of such inspections” in this prospectus.</w:t>
      </w:r>
    </w:p>
    <w:p>
      <w:pPr>
        <w:spacing w:after="0" w:line="119"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6"/>
          <w:szCs w:val="16"/>
          <w:color w:val="auto"/>
        </w:rPr>
        <w:t>The typical structure of cash flows through our organization is as follows: (i) we transfer funds to our WFOE, Beijing Burning Rock Biotech Limited, through either capital contributions or loans from our Hong Kong subsidiary, BR Hong Kong Limited.; (ii) our WFOE makes loans to the VIE, Burning Rock (Beijing) Biotechnology Co. Ltd.; (iii) the VIE and its subsidiaries receive funds generated from sales of products and/or services to third-party customers; and (iv) when the VIE intends to settle any amounts owed to us under the VIE Agreements, the VIE will pay service fees to our WFOE pursuant to the exclusive business cooperation agreement, and our WFOE will transfer funds to BR Hong Kong Limited, which in turn will transfer funds to us, all through distributions, dividends or repayment of shareholder loans.</w:t>
      </w:r>
    </w:p>
    <w:p>
      <w:pPr>
        <w:spacing w:after="0" w:line="11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6"/>
          <w:szCs w:val="16"/>
          <w:color w:val="auto"/>
        </w:rPr>
        <w:t>As of the date of this prospectus, none of our PRC subsidiaries nor the VIE has declared or paid any dividends or made any distributions to their respective holding companies, including Burning Rock Biotech Limited, nor does any of them have intention to do so. As of the date of this prospectus, the VIE has not settled any amounts owed to us under the VIE Agreements and does not have the intention to do so. As of the date of this prospectus, Burning Rock Biotech Limited has not declared any dividend and does not have a plan to declare a dividend to its shareholders. Nevertheless, cash transfers have been made to date between Burning Rock Biotech Limited, our subsidiaries and the VIEs and such cash transfers have been made in one direction only and in the direction to the VIE as of the date of this prospectus. We currently do not have cash management policies that dictate when or how funds are transferred between us, our subsidiaries and the VIEs. For details regarding the payments between us, our subsidiaries and the VIEs, see “Our Company—Holding Company Structure and Contractual Arrangements with the VIE” in this prospectus.</w:t>
      </w:r>
    </w:p>
    <w:p>
      <w:pPr>
        <w:spacing w:after="0" w:line="311" w:lineRule="exact"/>
        <w:rPr>
          <w:sz w:val="20"/>
          <w:szCs w:val="20"/>
          <w:color w:val="auto"/>
        </w:rPr>
      </w:pPr>
    </w:p>
    <w:p>
      <w:pPr>
        <w:ind w:left="120" w:right="40" w:firstLine="440"/>
        <w:spacing w:after="0" w:line="298" w:lineRule="auto"/>
        <w:rPr>
          <w:sz w:val="20"/>
          <w:szCs w:val="20"/>
          <w:color w:val="auto"/>
        </w:rPr>
      </w:pPr>
      <w:r>
        <w:rPr>
          <w:rFonts w:ascii="Times New Roman" w:cs="Times New Roman" w:eastAsia="Times New Roman" w:hAnsi="Times New Roman"/>
          <w:sz w:val="16"/>
          <w:szCs w:val="16"/>
          <w:color w:val="auto"/>
        </w:rPr>
        <w:t>There are limitations on our ability to transfer cash between us, our subsidiaries and the VIEs, and there is no assurance that PRC government will not intervene or impose restrictions on the ability of us, our subsidiaries and the VIEs to transfer cash.</w:t>
      </w:r>
    </w:p>
    <w:p>
      <w:pPr>
        <w:spacing w:after="0" w:line="97" w:lineRule="exact"/>
        <w:rPr>
          <w:sz w:val="20"/>
          <w:szCs w:val="20"/>
          <w:color w:val="auto"/>
        </w:rPr>
      </w:pPr>
    </w:p>
    <w:p>
      <w:pPr>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For more information related to the condensed consolidating schedule and the consolidated financial statements, see “Our Company—Holding Company Structure and Contractual Arrangements with the VIE” in this prospectus.</w:t>
      </w:r>
    </w:p>
    <w:p>
      <w:pPr>
        <w:spacing w:after="0" w:line="9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6"/>
          <w:szCs w:val="16"/>
          <w:color w:val="auto"/>
        </w:rPr>
        <w:t>The majority of our income is received in Renminbi,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the State Administration of the Foreign Exchange in the PRC as long as certain procedural requirements are met. Approval from appropriate government authorities is required if Renminbi is converted into foreign currency and remitted out of the PRC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 The PRC government has implemented a series of capital control measures, including stricter vetting procedures for China-based companies to remit foreign currency for overseas acquisitions, dividend payments and shareholder loan repayments. It may continue to strengthen its capital controls and our PRC subsidiary’s dividends and other distributions may be subjected to tighter scrutiny and may limit the ability of Burning Rock Biotech Limited, our Cayman holding entity, to use capital from our PRC subsidiary. For details regarding the restrictions on our ability to transfer cash between us, our subsidiaries and the VIEs, restrictions on currency exchanges in China and capital controls the Chinese government may impose, see “Item 3. Key Information—D. Risk Factors—Risks Relating to Doing Business in the PRC—We may rely on dividends and other distributions from our subsidiaries in China to fund our cash and financing requirements, and any limitation on the ability of our subsidiaries to make payments to us could adversely affect our ability to conduct our business”, and “—The PRC government’s control of foreign currency conversion may limit our foreign exchange transactions, including dividend payments on our ordinary shares”, and”—PRC regulation of loans to and direct investments in PRC entities by offshore holding companies may delay or prevent us from making loans or additional capital contributions to our subsidiaries, which could adversely affect our liquidity and our ability to fund and expand our business” in the 2021 Annual Report.</w:t>
      </w:r>
    </w:p>
    <w:p>
      <w:pPr>
        <w:spacing w:after="0" w:line="112" w:lineRule="exact"/>
        <w:rPr>
          <w:sz w:val="20"/>
          <w:szCs w:val="20"/>
          <w:color w:val="auto"/>
        </w:rPr>
      </w:pPr>
    </w:p>
    <w:p>
      <w:pPr>
        <w:ind w:left="120" w:right="60" w:firstLine="440"/>
        <w:spacing w:after="0" w:line="298" w:lineRule="auto"/>
        <w:rPr>
          <w:sz w:val="20"/>
          <w:szCs w:val="20"/>
          <w:color w:val="auto"/>
        </w:rPr>
      </w:pPr>
      <w:r>
        <w:rPr>
          <w:rFonts w:ascii="Times New Roman" w:cs="Times New Roman" w:eastAsia="Times New Roman" w:hAnsi="Times New Roman"/>
          <w:sz w:val="16"/>
          <w:szCs w:val="16"/>
          <w:color w:val="auto"/>
        </w:rPr>
        <w:t>For 2019, 2020 and 2021, Burning Rock Biotech Limited and its subsidiaries provided loans of RMB34 million, nil and RMB315 million, respectively, to the VIE and VIE’s subsidiaries.</w:t>
      </w:r>
    </w:p>
    <w:p>
      <w:pPr>
        <w:spacing w:after="0" w:line="95" w:lineRule="exact"/>
        <w:rPr>
          <w:sz w:val="20"/>
          <w:szCs w:val="20"/>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2" w:lineRule="exact"/>
        <w:rPr>
          <w:sz w:val="20"/>
          <w:szCs w:val="20"/>
          <w:color w:val="auto"/>
        </w:rPr>
      </w:pPr>
    </w:p>
    <w:tbl>
      <w:tblPr>
        <w:tblLayout w:type="fixed"/>
        <w:tblInd w:w="4160" w:type="dxa"/>
        <w:tblCellMar>
          <w:top w:w="0" w:type="dxa"/>
          <w:left w:w="0" w:type="dxa"/>
          <w:bottom w:w="0" w:type="dxa"/>
          <w:right w:w="0" w:type="dxa"/>
        </w:tblCellMar>
      </w:tblPr>
      <w:tr>
        <w:trPr>
          <w:trHeight w:val="212"/>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2022.</w:t>
            </w:r>
          </w:p>
        </w:tc>
      </w:tr>
    </w:tbl>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640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SPECIAL NOTE ON FORWARD-LOOKING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45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OUR COMPANY</w:t>
            </w:r>
          </w:p>
        </w:tc>
        <w:tc>
          <w:tcPr>
            <w:tcW w:w="61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360" w:type="dxa"/>
            <w:vAlign w:val="bottom"/>
            <w:gridSpan w:val="1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04"/>
        </w:trPr>
        <w:tc>
          <w:tcPr>
            <w:tcW w:w="30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300" w:type="dxa"/>
            <w:vAlign w:val="bottom"/>
            <w:tcBorders>
              <w:top w:val="single" w:sz="8" w:color="0000EE"/>
            </w:tcBorders>
            <w:gridSpan w:val="3"/>
          </w:tcPr>
          <w:p>
            <w:pPr>
              <w:spacing w:after="0"/>
              <w:rPr>
                <w:sz w:val="24"/>
                <w:szCs w:val="24"/>
                <w:color w:val="auto"/>
              </w:rPr>
            </w:pPr>
          </w:p>
        </w:tc>
        <w:tc>
          <w:tcPr>
            <w:tcW w:w="63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04"/>
        </w:trPr>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4"/>
              </w:rPr>
              <w:t>TAXATION</w:t>
            </w:r>
          </w:p>
        </w:tc>
        <w:tc>
          <w:tcPr>
            <w:tcW w:w="1140" w:type="dxa"/>
            <w:vAlign w:val="bottom"/>
            <w:tcBorders>
              <w:top w:val="single" w:sz="8" w:color="0000EE"/>
            </w:tcBorders>
            <w:gridSpan w:val="5"/>
          </w:tcPr>
          <w:p>
            <w:pPr>
              <w:spacing w:after="0"/>
              <w:rPr>
                <w:sz w:val="24"/>
                <w:szCs w:val="24"/>
                <w:color w:val="auto"/>
              </w:rPr>
            </w:pPr>
          </w:p>
        </w:tc>
        <w:tc>
          <w:tcPr>
            <w:tcW w:w="862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SELLING SECURITY 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1940" w:type="dxa"/>
            <w:vAlign w:val="bottom"/>
            <w:tcBorders>
              <w:top w:val="single" w:sz="8" w:color="0000EE"/>
            </w:tcBorders>
            <w:gridSpan w:val="7"/>
          </w:tcPr>
          <w:p>
            <w:pPr>
              <w:spacing w:after="0"/>
              <w:rPr>
                <w:sz w:val="24"/>
                <w:szCs w:val="24"/>
                <w:color w:val="auto"/>
              </w:rPr>
            </w:pPr>
          </w:p>
        </w:tc>
        <w:tc>
          <w:tcPr>
            <w:tcW w:w="726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980" w:type="dxa"/>
            <w:vAlign w:val="bottom"/>
            <w:gridSpan w:val="15"/>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Before you invest in any of our securities, you should carefully read this prospectus and any prospectus supplement, together with the additional information described in the sections entitled “Where You Can Find More Information About Us” and “Incorporation of Documents by Reference” in this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American depositary shares, each of which represents one Class A ordinary share;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“Burning Rock,” “we,” “us,” “our company” and “our” refer to Burning Rock Biotech Limited, a Cayman Islands exempted company, and its subsidiaries and consolidated affiliated entities;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including Hong Kong and Macau; the only instances in which “China” or “the PRC” do not include Hong Kong or Macau are when used in the case of laws and regulations adopted by the People’s Republic of China; the legal and operational risks associated with operating in China also apply to our operations in Hong Kong;</w:t>
      </w:r>
    </w:p>
    <w:p>
      <w:pPr>
        <w:spacing w:after="0" w:line="81"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 biopsy” refers to a test done on a blood sample that enables the access to the molecular information, by looking for cancer cells from a tumor that are circulating in the blood or for pieces of DNA from tumor cells that are in the blood, throughout all stages of cancer;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“MRD” refers to minimal residual disease, a small number of cancer cells left in the body after treatment;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“NGS” refers to next-generation sequencing, a DNA sequencing technology used to determine the nucleotide sequence of an individual’s genome;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refers to the percentage of people who test positive for a specific disease or condition among people who actually have the disease or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and Class B ordinary shares, par value US$0.0002 per share;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“specificity” refers to the percentage of people who test negative for a specific disease or condition among people who do not have the disease or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accounting principles generally accepted in the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refer to the legal currency of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refers to our PRC variable interest entity, Burning Rock (Beijing) Biotechnology Co.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refers to the VIE and its subsidiaries.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United States Securities and Exchange Commission, or SEC, utilizing a shelf registration process permitted under the Securities Act of 1933, or the Securities Act. By using a shelf registration statement, we or any selling security holder may sell any of our securities from time to time and in one or more offerings. Each time we or any selling security holders sell securities, we may provide a supplement to this prospectus that contains specific information about the securities being offered and the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applicable prospectus supplement or any related free writing prospectus that we may authorize to be delivered to you.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or the applicable supplement to this prospectus is accurate as of its respective date,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reporting currency is the Renminbi. This prospectus also contains translations of certain foreign currency amounts into U.S. dollars for the convenience of the reader. Unless otherwise stated, all translations from Renminbi to U.S. dollars were made at a rate of RMB6.3726 to US$1.00, the exchange rate set forth in the H.10 statistical release of the Board of Governors of the Federal Reserve System on December 31, 2021.</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April 29, 2022, or the 2021 20-F;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securities under this prospectus, all our subsequent annual reports on Form 20-F and any report on Form 6-K that indicates that it is being incorporated by reference, in each case, that we file with the SEC on or after the date of this prospectus and until the termination or completion of the offering under this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2021 20-F contains a description of our business and audited consolidated financial statements with a report by our independent auditors.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financial statements are prepared in accordance with accounting principles generally accepted in the United States, or U.S. GAAP.</w:t>
      </w:r>
    </w:p>
    <w:p>
      <w:pPr>
        <w:spacing w:after="0" w:line="20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We will provide to you, upon your written or oral request, without charge, a copy of any or all of the documents we refer to above which we have incorporated in this prospectus by reference, other than exhibits to those documents unless such exhibits are specifically incorporated by reference in the documents. You should direct your requests to our principal executive office located at No. 5, Xingdao Ring Road North, International Bio Island, Guangzhou, The People’s Republic of China. Our telephone number at this address is +86 020-3403 7871.</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ON FORWARD-LOOKING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related free writing prospectus, and the information incorporated by reference herein and therein may contain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competition in China’s cancer genotyping industry;</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cancer therapy selection products and services and our ability to expand our customer base;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protections for our cancer therapy selection technologies and our continued research and development to keep pace with technology developments;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from the NMPA, the NCCL and have our laboratory certified or accredited by authorities including the CLIA and the CAP;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cost-effectively;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of government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maintain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national health concerns, including the outbreak of pandemic or contagious diseases such as the pandemic of COVID-19;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our major business partners and customers;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elsewhere.</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any accompanying prospectus supplement and the documents that we refer to in this prospectus with the understanding that our actual future results may be materially different from and worse than what we expect. Other sections of this prospectus and any accompanying prospectus supplement include additional factors that could adversely affect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contains or incorporates by reference data, including we obtained from various government and private publications. Although we have not independently verified the data, we believe that the publications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and reports are reliable. The market data contained in this prospectus and any accompanying prospectus supplement involves a number of assumptions, estimates and limitations. Our industry may not grow at the rates projected by market data, or at all. The failure of this market to grow at the projected rates may have a material adverse effect on our business and the market price of our ADSs. If any one 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You should not place undue reliance on these forward-looking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aim to transform precision oncology and early cancer detection. We are China’s leading NGS-based cancer therapy selection company. Our cancer therapy selection platform is built upon our advanced proprietary technologies, comprehensive portfolio of products and a two-pronged market-driven commercial infrastructure addressing both larger hospitals through our in-hospital model and smaller hospitals through our central laboratory model.</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advanced technology platform integrates cutting-edge proprietary cancer therapy selection technologies using both tissue and liquid biopsies, including assay biochemistry, bioinformatics and a patented laboratory information management system. Our proprietary HS library preparation technology allows us to work with poor quality and limited volume samples and enables enhanced sensitivity—capabilities that are critical to effectively deploying NGS-based cancer therapy selection, especially in China. Our in-depth cancer genomics insights, accumulated from the large number of tests we have performed since our inception, enable us to process and accurately analyze genomic information and achieve a median turnaround time of 6 days.</w:t>
      </w:r>
    </w:p>
    <w:p>
      <w:pPr>
        <w:spacing w:after="0" w:line="187" w:lineRule="exact"/>
        <w:rPr>
          <w:sz w:val="20"/>
          <w:szCs w:val="20"/>
          <w:color w:val="auto"/>
        </w:rPr>
      </w:pPr>
    </w:p>
    <w:p>
      <w:pPr>
        <w:ind w:left="120" w:right="40" w:firstLine="440"/>
        <w:spacing w:after="0" w:line="251" w:lineRule="auto"/>
        <w:rPr>
          <w:sz w:val="20"/>
          <w:szCs w:val="20"/>
          <w:color w:val="auto"/>
        </w:rPr>
      </w:pPr>
      <w:r>
        <w:rPr>
          <w:rFonts w:ascii="Times New Roman" w:cs="Times New Roman" w:eastAsia="Times New Roman" w:hAnsi="Times New Roman"/>
          <w:sz w:val="17"/>
          <w:szCs w:val="17"/>
          <w:color w:val="auto"/>
        </w:rPr>
        <w:t>Our NGS-based cancer therapy selection test products are used to assist physicians in selecting the most effective therapy for cancer patients. We primarily offer 15 NGS-based cancer therapy selection and prognosis prediction tests applicable to a broad range of cancer types, including lung cancer, gastrointestinal cancer, prostate cancer, breast cancer, lymphomas, thyroid cancer, colorectal cancer, ovarian cancer, pancreatic cancer, and bladder cancer, using both tissue and liquid biopsy samples. Our core products, including OncoCompass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IO, OncoScreen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IO and OncoCompass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Target, perform on par with those of our global peers. We recently launched our minimal residual disease (MRD) product, brPROPHET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 March 2022, which has demonstrated superior sensitivity and specificity to fixed panel in pre-operative ctDNA detection and post-operative MRD calling among relapsed patients. We are the clear leader in the lung cancer segment of China’s NGS-based cancer therapy selection market. We believe we offer the best NGS-based cancer therapy selection products and services in China, and we have won the trust of pharmaceutical companies, physicians, hospitals and patients with our high quality standards, superior product performance and strong service support. Our products are recognized by the medical, pharmaceutical and scientific communities, as evidenced by (i) the use of our products by oncology key opinion leaders in clinical trials and research studies they initiate, and (ii) our collaborations on clinical trials and research studies with leading pharmaceutical companies including AstraZeneca (NYSE: AZN), Bayer (ETR: BAYN), Johnson &amp; Johnson (NYSE: JNJ), CStone (HKEX: 2616), BeiGene (HKEX: 6160), Abbisko Therapeutics (HKEX: 2256), IMPACT Therapeutics and Merck KGaA (ETR: MRK), primarily by providing central laboratory services and companion diagnostics development services to these pharmaceutical companies. The results of these clinical trials and research studies have been published in over 200 peer-reviewed articles, and the results of research studies using our products have been published in numerous peer-reviewed articles.</w:t>
      </w:r>
    </w:p>
    <w:p>
      <w:pPr>
        <w:spacing w:after="0" w:line="19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pioneered a two-pronged commercial infrastructure, consisting of both central and in-hospital laboratories, to maximize market penetration and create higher barriers to entry.</w:t>
      </w:r>
    </w:p>
    <w:p>
      <w:pPr>
        <w:spacing w:after="0" w:line="67" w:lineRule="exact"/>
        <w:rPr>
          <w:sz w:val="20"/>
          <w:szCs w:val="20"/>
          <w:color w:val="auto"/>
        </w:rPr>
      </w:pPr>
    </w:p>
    <w:p>
      <w:pPr>
        <w:ind w:left="1080" w:hanging="424"/>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laboratory model: Our central laboratory processes cancer patients’ tissue and liquid biopsy samples delivered to us from hospitals across China and issues test reports. In 2021, approximately 4% of the tests performed under our central laboratory model were conducted on liquid biopsy samples. This model has enabled us to become China’s largest provider of NGS-based cancer therapy selection tests while building relationships with over 5,420 physicians from 757 hospitals across China. Our central laboratory also supports our collaborations with pharmaceutical companies. We are the leader in the central laboratory segment of China’s NGS-based cancer therapy selection market. Revenue from our central laboratory model has accounted for a substantial majority of our revenue, and we expect it to continue to grow.</w:t>
      </w:r>
    </w:p>
    <w:p>
      <w:pPr>
        <w:spacing w:after="0" w:line="94"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In-hospital model: Chinese hospitals generally prefer to conduct laboratory tests in-house. However, despite the large and growing demand for NGS-based cancer therapy selection tests, hospitals face multiple challenges in adopting these tests, which have technically sophisticated workflows. In 2016,</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54" w:lineRule="auto"/>
        <w:rPr>
          <w:sz w:val="20"/>
          <w:szCs w:val="20"/>
          <w:color w:val="auto"/>
        </w:rPr>
      </w:pPr>
      <w:r>
        <w:rPr>
          <w:rFonts w:ascii="Times New Roman" w:cs="Times New Roman" w:eastAsia="Times New Roman" w:hAnsi="Times New Roman"/>
          <w:sz w:val="18"/>
          <w:szCs w:val="18"/>
          <w:color w:val="auto"/>
        </w:rPr>
        <w:t>we became China’s first NGS-based cancer therapy selection company to offer an in-hospital model, providing turn-key solutions to address Chinese hospitals’ challenges in adopting NGS-based cancer therapy selection. We help our partner hospitals establish their in-hospital laboratories, install laboratory equipment and systems, and provide ongoing training and support. With these laboratories, equipment and systems in place, we sell them our reagent kits on a recurring basis, which allow them to perform testing on their own in a standardized manner. We have partnered with 63 Class III Grade A hospitals (the highest of China’s nine-tiered hospital designation system) and one Class II Grade A hospital as of December 31, 2021. We have invested and expect to continue investing substantially in our in-hospital model, as we expect it to become an increasingly important segment of China’s NGS-based cancer therapy selection market. While revenue from our in-hospital model was smaller than that generated from our central laboratory business in 2021, revenue from our in-hospital model has grown rapidly and substantially since we entered into this model.</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NGS-based cancer therapy selection tests, we are also investing in our development of early cancer detection tests. Early cancer detection can substantially increase the chances of successful treatment and therefore presents enormous market opportunities. However, it is extremely difficult to develop liquid biopsy-based early cancer detection tests with the sensitivity and specificity needed for the tests to be clinically useful. Our targeted DNA methylation-based library preparation technologies and bioinformatics effectively address these challenges by enhancing the signal-to-noise ratio on the most informative cancer-associated methylation loci and blocks, enabling us to detect extremely low circulating levels of cancer biomarkers to facilitate accurate early detection of multiple cancers. Our early cancer detection technologies have demonstrated an overall sensitivity of 80.6% across six cancer types (including lung cancer, colorectal cancer, liver cancer, ovarian cancer, pancreatic cancer and esophageal cancer) at various stages, with 98.3% specificity (meaning 98.3% of asymptomatic participants test negative for any cancer). We will continue our research and development efforts in early cancer detection, with the aim of developing pan-cancer early detection products.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to operate our business, we, our subsidiaries, and the VIEs need to obtain Medical Institution Practice License, Certificate of Clinical Gene Amplification Testing Laboratory, Medical Device Record-filing Certificates, Medical Device Registration Certificates, Medical Device Manufacture License, Medical Device Operation License and approval or pre-registration with the Ministry of Sciences and Technology of the PRC, or the MOST, in accordance with applicable laws and regulations. To offer the securities being registered to foreign investors, we will need to complete record-filing with the NDRC in the case of debt securities offering; we are not required to obtain any regulatory approval or complete any record-filing in the case of equity securities offering as of the date of this prospectus. As advised by Tian Yuan Law Firm, our PRC counsel, as of the date of this prospectus, none of our Company, our subsidiaries or VIEs are required to obtain any permissions requirements from the China Securities Regulatory Commission (the “CSRC”), Cyberspace Administration of China (the “CAC”).</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received the requisite permissions and approvals from the PRC government authorities that are material for our business operations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and for offering securities being registered to foreign investors, except for the following:</w:t>
      </w:r>
    </w:p>
    <w:p>
      <w:pPr>
        <w:spacing w:after="0" w:line="112" w:lineRule="exact"/>
        <w:rPr>
          <w:sz w:val="20"/>
          <w:szCs w:val="20"/>
          <w:color w:val="auto"/>
        </w:rPr>
      </w:pPr>
    </w:p>
    <w:p>
      <w:pPr>
        <w:ind w:left="1080" w:hanging="532"/>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equipment, products and software have not obtained the required certificates, licenses or permits, and it is uncertain whether we can obtain all Medical Device Registration Certificates for our NGS-based cancer therapy selection products. See “Item 3. Key Information—D. Risk Factors—Risks Relating to Government Regulations—We are subject to extensive legal and regulatory requirements in China for our cancer therapy selection products and services. Any lack of requisite certificates, licenses or permits applicable to our business may have an adverse impact on our business, financial condition and results of operations” of our 2021 Form 20-F for more information;</w:t>
      </w:r>
    </w:p>
    <w:p>
      <w:pPr>
        <w:spacing w:after="0" w:line="92"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included in the pilot program as required by Circular 25, which was published in February 2014 by two government agencies regarding the clinical application of genetic tests, and thus our provision of genetic testing may be deemed by the competent governmental authorities to have violated Circular 25. See “Item 3. Key Information—D. Risk Factors—Risks Relating to Government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580"/>
        <w:spacing w:after="0" w:line="282" w:lineRule="auto"/>
        <w:rPr>
          <w:sz w:val="20"/>
          <w:szCs w:val="20"/>
          <w:color w:val="auto"/>
        </w:rPr>
      </w:pPr>
      <w:r>
        <w:rPr>
          <w:rFonts w:ascii="Times New Roman" w:cs="Times New Roman" w:eastAsia="Times New Roman" w:hAnsi="Times New Roman"/>
          <w:sz w:val="18"/>
          <w:szCs w:val="18"/>
          <w:color w:val="auto"/>
        </w:rPr>
        <w:t>Regulations—The evolving government regulations may place additional burdens on our efforts to commercialize our products and services” of our 2021 Form 20-F for more information; and</w:t>
      </w:r>
    </w:p>
    <w:p>
      <w:pPr>
        <w:spacing w:after="0" w:line="67" w:lineRule="exact"/>
        <w:rPr>
          <w:sz w:val="20"/>
          <w:szCs w:val="20"/>
          <w:color w:val="auto"/>
        </w:rPr>
      </w:pPr>
    </w:p>
    <w:p>
      <w:pPr>
        <w:ind w:left="560" w:right="1840" w:hanging="12"/>
        <w:spacing w:after="0" w:line="500" w:lineRule="auto"/>
        <w:tabs>
          <w:tab w:leader="none" w:pos="10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apply for NDRC record-filing and report to SAFE, if applicable, in connection with our offering, Furthermore, to the best of our knowledge, none of the permissions or approvals that we have received have been denied.</w:t>
      </w:r>
    </w:p>
    <w:p>
      <w:pPr>
        <w:spacing w:after="0" w:line="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or the VIEs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9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are one of the fastest-growing companies in China’s NGS-based cancer therapy selection market. Our revenue increased by 12.6% from RMB381.7 million in 2019 to RMB429.9 million in 2020 and further increased by 18.1% to RMB507.9 million (US$79.7 million) in 2021. Our gross profit increased by 14.8% from RMB273.3 million in 2019 to RMB313.9 million in 2020 and further increased by 16.0% to RMB364.1 million (US$57.1 million) in 2021. Our gross profit margin was 71.6%, 73.0% and 71.7% in 2019, 2020 and 2021,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 and Contractual Arrangements with the VIE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conduct our operations in China primarily through our subsidiaries and the VIEs. When purchasing the our ADSs, our investors are purchasing interest in our Company, Burning Rock Biotech Limited and its subsidiaries, while our operation are substantially conducted through the VIE, Burning Rock (Beijing) Biotechnology Co. Ltd and it subsidiaries. PRC laws and regulations restrict and impose conditions on foreign investment related to the research, development, and application of genomic diagnosis and treatment technology in China. Accordingly, we operate these businesses in China through the VIEs. Investors in our ADSs are not purchasing equity interest in our operating entities in China but instead are purchasing equity interest in a holding company incorporated in the Cayman Islands. The chart below sets forth our corporate structure and identifies our principal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060440" cy="3352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060440" cy="335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right="100" w:hanging="424"/>
        <w:spacing w:after="0" w:line="25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Burning Rock (Beijing) Biotechnology Co., Ltd., the VIE, include (i) Mr. Yusheng Han, our founder, chairman of the board of directors and chief executive officer, who holds 45.9% of the equity interests in the VIE, (ii) Mr. Xia Nan, an affiliate of Northern Light Venture Capital III, Ltd., who holds 18.1% of the equity interests in the VIE, (iii) Mr. Gang Lu, our director, and Mr. Jin Zhao, our former director, who hold 7.1% and 8.8% of the equity interests in the VIE, respectively, (iv) Growth No. 12 Investment (Shenzhen) Partnership (Limited Partnership), an affiliate of a principal shareholder, which holds 6.0% of the equity interests in the VIE, and (v) seven minority shareholders, who in aggregate hold 14.1% of the equity interests in the VIE, including Dr. Shaokun (Shannon) Chuai, our chief operating officer.</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refer to Beijing Burning Rock Biotech Limited as “our WFOE”, and to Burning Rock (Beijing) Biotechnology Co. Ltd as “the VIE” (and together with its subsidiaries, “the VIEs”)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Investment in China by foreign investors is subject to certain restriction under PRC laws and regulations, in particular, the Catalog of Industries for Encouraging Foreign Investment, and the Special Administrative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Measures for Access of Foreign Investment (2021 Edition), or the Negative List. Industries not listed in the Negative List are generally permitted and open to foreign investment, unless specifically prohibited or restricted by the PRC laws and regulations. While foreign investors are given access to the medical device industry according to Negative list, foreign ownership is prohibited in businesses involving the development and application of genomic diagnosis and treatment technology. We are a company incorporated in the Cayman Islands, and, as a result, our subsidiaries in China are considered foreign-owned enterprises. To comply with the PRC laws and regulations described above, we primarily conduct our business in China through the VIE and its subsidiaries in China, based on a series of contractual arrangements among the VIE, its shareholders and our WFOE.</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through our WFOE, have entered into a series of contractual arrangements with the VIE and the nominee shareholders of the VIE. These contractual arrangements enable us to, among others: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economic benefits from the VIE;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exclusive option to purchase all or part of the equity interests in and assets of the VIE when and to the extent permitted by PRC law.</w:t>
      </w:r>
    </w:p>
    <w:p>
      <w:pPr>
        <w:spacing w:after="0" w:line="162"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Because of these contractual arrangements, while we do not have equity ownership of the VIE, we are the primary beneficiary of the VIE and hence consolidate its financial results with ours under U.S. GAAP. The following paragraphs provide a summary of these contracts and arrangements.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the VIE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Business Cooperation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exclusive business cooperation agreement, as amended and restated on October 21, 2019, which was entered into between the WFOE and the VIE, WFOE or its designated party has the exclusive right to provide the VIE with business support, technology service, consulting service and other services. In exchange for these services, the VIE will pay a service fee, equal to the VIE’s profit before tax, after recovering any accumulated losses of the VIE and its subsidiaries from the preceding fiscal year, and deducting working capital, expenses, tax and a reasonable amount of operating profit according to applicable tax law principles and tax practice. Without the prior written consent of the WFOE, the VIE may not accept any services covered by this agreement from any third party, and may not cooperate with any third party in respect of the same. The WFOE will exclusively own the proprietary rights, ownership, interests and intellectual property rights produced or created in connection with the performance of this agreement. Unless terminated by the WFOE, this agreement will remain effective for ten years. The WFOE may at its sole discretion unilaterally extend the term of this agreement prior to its expiration upon notice to the VIE.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that Provides Us with Options to Purchase the Equity Interests in and Assets of the VIE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Option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exclusive option agreement, as amended and restated on October 21, 2019, which was entered into among the WFOE, the VIE and its shareholders, the shareholders of the VIE have irrevocably and unconditionally granted the WFOE or its designated party an exclusive option, where permitted by the PRC law, to purchase all or any portion of their respective equity interests in the VIE. The purchase price for any equity interest upon exercise of this option will be calculated as then registered capital of the VIE multiplied by the percentage of such equity interest in proportion to the total equity of the VIE. However, if applicable PRC law contains compulsory requirement regarding transfer of equity interest, the WFOE or any third party designated by the WFOE is entitled to pay the lowest price permitted by the PRC law as purchase price. In addition, pursuant to this agreement, the VIE has irrevocably and unconditionally granted the WFOE or its designated party an exclusive option, where permitted by applicable PRC law, to purchase all or any portion of its assets. The purchase price upon exercise of this option will be the higher of (i) the net book value of the assets to be purchased or (ii) the lowest price permitted by applicable PRC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Without the prior written consent of the WFOE, the shareholders of the VIE may not, in any manner, supplement, modify or amend the articles of associations and by-laws of the VIE; increase or reduce its registered capital or change the structure of registered capital in other manners; sell, transfer, pledge or dispose of its assets, legal or beneficial interests in business or revenue or allow any encumbrance on the same; assume, inherit, guarantee any debt, or allow the existence of any debt, except for debts incurred in the ordinary course of business and debts known and agreed in writing by the WFOE; cause the VIE to enter into any material contract outside the ordinary course of business; cause the VIE to provide loans, credits or guarantees in any form to any other persons; cause or permit the VIE to merge, consolidate with, acquire or invest in any other persons, or acquired or invested by any other persons; cause the VIE to liquidate, dissolve or de-registrate; request the VIE to distribute dividends to its shareholders, or propose or vote in favor of any shareholders’ resolution for such distribution of dividends. This agreement will remain effective until all equity interests in the VIE held by its shareholders has been transferred to the WFOE or its designated party in accordance with provisions of this agreement. The WFOE may at its sole discretion unilaterally terminate this agreement prior to its expiration upon notice to the VIE.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Interest Pledge Agreement</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Pursuant to the equity interest pledge agreement, as amended and restated on October 21, 2019, which was entered into among WFOE, the VIE and its shareholders, each shareholder of the VIE has pledged all of its respective equity interests in the VIE to the WFOE to guarantee the performance of the VIE and its shareholders of their respective obligations under the exclusive business cooperation agreement, the exclusive option agreement, the agreement for power of attorney as well as their respective liabilities arising from any breach of any obligation thereunder. If the VIE or any of its shareholders breaches any obligation under these agreements, the WFOE, as pledgee, may dispose of the pledged equity interest and have priority to be compensated by the proceeds from the disposal of such equity. Each of the shareholders of the VIE agrees that before its obligations under these agreements are discharged and the amounts payable under these agreements are fully paid, it will not dispose of the pledged equity interest, create or allow any encumbrance on the pledged equity interest without the prior written consent of the WFOE. The equity interest pledge agreement will remain effective until the VIE and its shareholders have discharged all their obligations and fully paid all the amounts payable under these agreements. We completed the registration of the pledge of equity interest with the relevant office of the State Administration for Market Regulation on November 25, 2019 in accordance with applicable PRC law and regulations.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for Power of Attorney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agreement for power of attorney, as amended and restated on October 21, 2019, which was entered into among the WFOE, the VIE and its shareholders, each shareholder of the VIE irrevocably authorizes the WFOE or its designated person to act as the attorney-in-fact to exercise all such shareholder’s voting and other rights associated with the shareholder’s equity interests in the VIE, such as the right to appoint or remove directors, supervisors and officers, as well as the right to sell, transfer, pledge or dispose of all or any portion of the equity interests held by such shareholder, or of the assets held by the VIE. The parties have agreed that the WFOE is entitled to unilaterally amend, modify or supplement this agreement for power of attorney and the other parties will cooperate where there is a request in respect of the same by the WFOE. This agreement for power of attorney will remain effective until it is terminated by the WFOE.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Spousal Consent Letters</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spouses of Yusheng Han, Gang Lu, Zhigang Wu, Dan Zhou, Peijing Si, Dong Yin and Jin Zhao each signed a spousal consent letter on October 21, 2019. Under these letters, each signing spouse has agreed that he or she is aware of the equity interests beneficially owned by his or her spouse in the VIE and the relevant contractual arrangements in connection with such equity interests. Each signing spouse has unconditionally and irrevocably confirmed that he or she does not have any equity interest in the VIE and will not take any action that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may interfere with the contractual arrangement including any claims in respect of the equity interests held by his or her spouse. Each signing spouse has further confirmed that in any event he or she is conferred with any equity interest, he or she is willing to be bound by the relevant contractual arrangements unconditionally as if being a party thereof, and undertakes to take all necessary measures for the performance of those arrangements.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Support Undertaking Letter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financial support undertaking letter addressed to the VIE, dated October 21, 2019, we undertake to provide unlimited financial support to the VIE to the extent permissible under the applicable PRC laws and regulations, regardless of whether the VIE has incurred an operational loss. The form of financial support includes but is not limited to cash, entrusted loans and borrowings. We will not request repayment of any outstanding loans or borrowings from the VIE if it or its shareholders do not have sufficient funds or are unable to repay such loans or borrowings. The letter is effective until the earlier of (i) the date on which all of the equity interests of the VIE have been acquired by us or our designee, and (ii) the date on which we, in our sole and absolute discretion, unilaterally terminates the applicable financial support undertaking letter.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Proxy Agreement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voting proxy agreement entered into between our company and our WFOE, dated October 21, 2019, our WFOE irrevocably and unconditionally undertakes to exercise its rights under the agreement for power of attorney, as amended and restated on October 21, 2019, by and among our WFOE, the VIE and its shareholders, in accordance with our company’s instruction.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opinion of Tian Yuan Law Firm, our PRC counsel:</w:t>
      </w:r>
    </w:p>
    <w:p>
      <w:pPr>
        <w:spacing w:after="0" w:line="131" w:lineRule="exact"/>
        <w:rPr>
          <w:sz w:val="20"/>
          <w:szCs w:val="20"/>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 of the VIE and our WFOE in China currently does not violate any applicable PRC laws or regulations currently in effect;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our WFOE, VIE and the shareholders of the VIE governed by PRC law are valid, binding and enforceable in accordance with their terms and applicable PRC laws or regulations currently in effect and currently do not and will not violate any applicable PRC laws or regulations currently in effect.</w:t>
      </w:r>
    </w:p>
    <w:p>
      <w:pPr>
        <w:spacing w:after="0" w:line="176"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See “Item 3. Key Information—D. Risk Factors—Risks Relating to Our Corporate Structure—If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 and “Item</w:t>
      </w:r>
    </w:p>
    <w:p>
      <w:pPr>
        <w:spacing w:after="0" w:line="3" w:lineRule="exact"/>
        <w:rPr>
          <w:sz w:val="20"/>
          <w:szCs w:val="20"/>
          <w:color w:val="auto"/>
        </w:rPr>
      </w:pPr>
    </w:p>
    <w:p>
      <w:pPr>
        <w:ind w:left="120" w:right="80" w:hanging="4"/>
        <w:spacing w:after="0" w:line="26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Relating to Doing Business in the PRC—Uncertainties in the interpretation and enforcement of PRC laws and regulations could limit the legal protections available to you and us” in our 2021 Annual Report for more details.</w:t>
      </w:r>
    </w:p>
    <w:p>
      <w:pPr>
        <w:spacing w:after="0" w:line="18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For a summary of the material provisions of the contractual arrangements, please refer to “Item 4. Information on the Company—C. Organizational Structure” in our 2021 Form 20-F, which is incorporated by reference in this prospectus. The tables below set forth the results of operations of VIEs included in our consolidated statements of comprehensive loss for 2019, 2020 and 2021:</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 2019</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Non-VIE entities</w:t>
            </w:r>
          </w:p>
        </w:tc>
        <w:tc>
          <w:tcPr>
            <w:tcW w:w="42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4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spacing w:after="0"/>
              <w:rPr>
                <w:sz w:val="12"/>
                <w:szCs w:val="12"/>
                <w:color w:val="auto"/>
              </w:rPr>
            </w:pPr>
          </w:p>
        </w:tc>
        <w:tc>
          <w:tcPr>
            <w:tcW w:w="80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Pr>
          <w:p>
            <w:pPr>
              <w:spacing w:after="0"/>
              <w:rPr>
                <w:sz w:val="12"/>
                <w:szCs w:val="12"/>
                <w:color w:val="auto"/>
              </w:rPr>
            </w:pPr>
          </w:p>
        </w:tc>
        <w:tc>
          <w:tcPr>
            <w:tcW w:w="82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61,428</w:t>
            </w:r>
          </w:p>
        </w:tc>
        <w:tc>
          <w:tcPr>
            <w:tcW w:w="15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381,460</w:t>
            </w:r>
          </w:p>
        </w:tc>
        <w:tc>
          <w:tcPr>
            <w:tcW w:w="1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(61,211)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381,677</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97,141</w:t>
            </w:r>
          </w:p>
        </w:tc>
        <w:tc>
          <w:tcPr>
            <w:tcW w:w="15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72,015</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169,156</w:t>
            </w:r>
          </w:p>
        </w:tc>
        <w:tc>
          <w:tcPr>
            <w:tcW w:w="0" w:type="dxa"/>
            <w:vAlign w:val="bottom"/>
          </w:tcPr>
          <w:p>
            <w:pPr>
              <w:spacing w:after="0"/>
              <w:rPr>
                <w:sz w:val="1"/>
                <w:szCs w:val="1"/>
                <w:color w:val="auto"/>
              </w:rPr>
            </w:pPr>
          </w:p>
        </w:tc>
      </w:tr>
      <w:tr>
        <w:trPr>
          <w:trHeight w:val="346"/>
        </w:trPr>
        <w:tc>
          <w:tcPr>
            <w:tcW w:w="2840" w:type="dxa"/>
            <w:vAlign w:val="bottom"/>
          </w:tcPr>
          <w:p>
            <w:pPr>
              <w:spacing w:after="0"/>
              <w:rPr>
                <w:sz w:val="24"/>
                <w:szCs w:val="24"/>
                <w:color w:val="auto"/>
              </w:rPr>
            </w:pPr>
          </w:p>
        </w:tc>
        <w:tc>
          <w:tcPr>
            <w:tcW w:w="33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 2020</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Non-VIE entities</w:t>
            </w:r>
          </w:p>
        </w:tc>
        <w:tc>
          <w:tcPr>
            <w:tcW w:w="42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Pr>
          <w:p>
            <w:pPr>
              <w:spacing w:after="0"/>
              <w:rPr>
                <w:sz w:val="12"/>
                <w:szCs w:val="12"/>
                <w:color w:val="auto"/>
              </w:rPr>
            </w:pPr>
          </w:p>
        </w:tc>
        <w:tc>
          <w:tcPr>
            <w:tcW w:w="82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65,312</w:t>
            </w: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432,142</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(67,551)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429,903</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161,059</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244,765</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1,411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407,235</w:t>
            </w:r>
          </w:p>
        </w:tc>
        <w:tc>
          <w:tcPr>
            <w:tcW w:w="0" w:type="dxa"/>
            <w:vAlign w:val="bottom"/>
          </w:tcPr>
          <w:p>
            <w:pPr>
              <w:spacing w:after="0"/>
              <w:rPr>
                <w:sz w:val="1"/>
                <w:szCs w:val="1"/>
                <w:color w:val="auto"/>
              </w:rPr>
            </w:pPr>
          </w:p>
        </w:tc>
      </w:tr>
    </w:tbl>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years ended December 31, 2021</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0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8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77,234</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526,071</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(95,443)</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507,862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79,694</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277,034</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508,803</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10,860</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796,697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tables below set forth the condensed consolidated schedule of financial position of the VIE and subsidiaries of the VIE as of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Non-VIE entities</w:t>
            </w:r>
          </w:p>
        </w:tc>
        <w:tc>
          <w:tcPr>
            <w:tcW w:w="300" w:type="dxa"/>
            <w:vAlign w:val="bottom"/>
          </w:tcPr>
          <w:p>
            <w:pPr>
              <w:spacing w:after="0"/>
              <w:rPr>
                <w:sz w:val="10"/>
                <w:szCs w:val="10"/>
                <w:color w:val="auto"/>
              </w:rPr>
            </w:pPr>
          </w:p>
        </w:tc>
        <w:tc>
          <w:tcPr>
            <w:tcW w:w="8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420" w:type="dxa"/>
            <w:vAlign w:val="bottom"/>
          </w:tcPr>
          <w:p>
            <w:pPr>
              <w:spacing w:after="0"/>
              <w:rPr>
                <w:sz w:val="10"/>
                <w:szCs w:val="10"/>
                <w:color w:val="auto"/>
              </w:rPr>
            </w:pPr>
          </w:p>
        </w:tc>
        <w:tc>
          <w:tcPr>
            <w:tcW w:w="8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1,745,572</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149,736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1,895,308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29,635</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29,898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16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495,526</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8,432</w:t>
            </w:r>
          </w:p>
        </w:tc>
        <w:tc>
          <w:tcPr>
            <w:tcW w:w="4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2,679,294</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348,316</w:t>
            </w:r>
          </w:p>
        </w:tc>
        <w:tc>
          <w:tcPr>
            <w:tcW w:w="40" w:type="dxa"/>
            <w:vAlign w:val="bottom"/>
          </w:tcPr>
          <w:p>
            <w:pPr>
              <w:spacing w:after="0"/>
              <w:rPr>
                <w:sz w:val="18"/>
                <w:szCs w:val="18"/>
                <w:color w:val="auto"/>
              </w:rPr>
            </w:pP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(503,958)</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2,523,652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101,160</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38,216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139,376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2,780,454</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386,532</w:t>
            </w:r>
          </w:p>
        </w:tc>
        <w:tc>
          <w:tcPr>
            <w:tcW w:w="40" w:type="dxa"/>
            <w:vAlign w:val="bottom"/>
          </w:tcPr>
          <w:p>
            <w:pPr>
              <w:spacing w:after="0"/>
              <w:rPr>
                <w:sz w:val="18"/>
                <w:szCs w:val="18"/>
                <w:color w:val="auto"/>
              </w:rPr>
            </w:pP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(503,958)</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2,663,028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16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286,805</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495,526</w:t>
            </w:r>
          </w:p>
        </w:tc>
        <w:tc>
          <w:tcPr>
            <w:tcW w:w="4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(782,331)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359,450</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664,905</w:t>
            </w:r>
          </w:p>
        </w:tc>
        <w:tc>
          <w:tcPr>
            <w:tcW w:w="40" w:type="dxa"/>
            <w:vAlign w:val="bottom"/>
          </w:tcPr>
          <w:p>
            <w:pPr>
              <w:spacing w:after="0"/>
              <w:rPr>
                <w:sz w:val="18"/>
                <w:szCs w:val="18"/>
                <w:color w:val="auto"/>
              </w:rPr>
            </w:pP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(782,331)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 equity</w:t>
            </w:r>
          </w:p>
        </w:tc>
        <w:tc>
          <w:tcPr>
            <w:tcW w:w="16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2,421,004</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(278,373)</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278,373</w:t>
            </w:r>
          </w:p>
        </w:tc>
        <w:tc>
          <w:tcPr>
            <w:tcW w:w="8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2,421,004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liabilities, mezzanine equity and shareholders’ (deficit)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6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2,780,454</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386,532</w:t>
            </w:r>
          </w:p>
        </w:tc>
        <w:tc>
          <w:tcPr>
            <w:tcW w:w="40" w:type="dxa"/>
            <w:vAlign w:val="bottom"/>
          </w:tcPr>
          <w:p>
            <w:pPr>
              <w:spacing w:after="0"/>
              <w:rPr>
                <w:sz w:val="20"/>
                <w:szCs w:val="20"/>
                <w:color w:val="auto"/>
              </w:rPr>
            </w:pP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(503,958)</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2,663,028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Non-VIE</w:t>
            </w:r>
          </w:p>
        </w:tc>
        <w:tc>
          <w:tcPr>
            <w:tcW w:w="112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VIEs</w:t>
            </w: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6"/>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0"/>
                <w:szCs w:val="10"/>
                <w:color w:val="auto"/>
              </w:rPr>
            </w:pPr>
          </w:p>
        </w:tc>
        <w:tc>
          <w:tcPr>
            <w:tcW w:w="9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20" w:type="dxa"/>
            <w:vAlign w:val="bottom"/>
            <w:gridSpan w:val="5"/>
            <w:vMerge w:val="continue"/>
          </w:tcPr>
          <w:p>
            <w:pPr>
              <w:spacing w:after="0"/>
              <w:rPr>
                <w:sz w:val="15"/>
                <w:szCs w:val="15"/>
                <w:color w:val="auto"/>
              </w:rPr>
            </w:pPr>
          </w:p>
        </w:tc>
        <w:tc>
          <w:tcPr>
            <w:tcW w:w="12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5"/>
                <w:szCs w:val="15"/>
                <w:color w:val="auto"/>
              </w:rPr>
            </w:pP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gridSpan w:val="2"/>
          </w:tcPr>
          <w:p>
            <w:pPr>
              <w:spacing w:after="0"/>
              <w:rPr>
                <w:sz w:val="12"/>
                <w:szCs w:val="12"/>
                <w:color w:val="auto"/>
              </w:rPr>
            </w:pPr>
          </w:p>
        </w:tc>
        <w:tc>
          <w:tcPr>
            <w:tcW w:w="860" w:type="dxa"/>
            <w:vAlign w:val="bottom"/>
            <w:tcBorders>
              <w:top w:val="single" w:sz="8" w:color="auto"/>
            </w:tcBorders>
            <w:gridSpan w:val="2"/>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80" w:type="dxa"/>
            <w:vAlign w:val="bottom"/>
            <w:tcBorders>
              <w:top w:val="single" w:sz="8" w:color="auto"/>
            </w:tcBorders>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1,245,467</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185,850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1,431,317</w:t>
            </w: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224,605</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6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7,795</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897,633</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75,560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(973,193)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2,237,927</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556,212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(973,193)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7"/>
              </w:rPr>
              <w:t>1,820,946</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285,748</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354,409</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103,232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457,641</w:t>
            </w: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71,814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2,592,336</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659,444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(973,193)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7"/>
              </w:rPr>
              <w:t>2,278,587</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357,562</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631,582</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897,633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(1,529,215)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747,025</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1,215,466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(1,529,215)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433,276</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67,993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 equity</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1,845,311</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(556,022)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556,022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1,845,311</w:t>
            </w:r>
          </w:p>
        </w:tc>
        <w:tc>
          <w:tcPr>
            <w:tcW w:w="11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289,569</w:t>
            </w: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mezzanine equity and shareholders’ (deficit) equity</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2,592,336</w:t>
            </w:r>
          </w:p>
        </w:tc>
        <w:tc>
          <w:tcPr>
            <w:tcW w:w="1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659,444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(973,193)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7"/>
              </w:rPr>
              <w:t>2,278,587</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357,562</w:t>
            </w:r>
          </w:p>
        </w:tc>
        <w:tc>
          <w:tcPr>
            <w:tcW w:w="0" w:type="dxa"/>
            <w:vAlign w:val="bottom"/>
          </w:tcPr>
          <w:p>
            <w:pPr>
              <w:spacing w:after="0"/>
              <w:rPr>
                <w:sz w:val="1"/>
                <w:szCs w:val="1"/>
                <w:color w:val="auto"/>
              </w:rPr>
            </w:pPr>
          </w:p>
        </w:tc>
      </w:tr>
      <w:tr>
        <w:trPr>
          <w:trHeight w:val="346"/>
        </w:trPr>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tables below set forth the cash flows of the VIE and subsidiaries of the VIE included in our consolidated statements of cash flows for 2019, 2020 and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 2019</w:t>
            </w: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6"/>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Non-VIE entities</w:t>
            </w:r>
          </w:p>
        </w:tc>
        <w:tc>
          <w:tcPr>
            <w:tcW w:w="140" w:type="dxa"/>
            <w:vAlign w:val="bottom"/>
          </w:tcPr>
          <w:p>
            <w:pPr>
              <w:spacing w:after="0"/>
              <w:rPr>
                <w:sz w:val="10"/>
                <w:szCs w:val="10"/>
                <w:color w:val="auto"/>
              </w:rPr>
            </w:pPr>
          </w:p>
        </w:tc>
        <w:tc>
          <w:tcPr>
            <w:tcW w:w="5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8"/>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20" w:type="dxa"/>
            <w:vAlign w:val="bottom"/>
            <w:gridSpan w:val="8"/>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(181,048)</w:t>
            </w:r>
          </w:p>
        </w:tc>
        <w:tc>
          <w:tcPr>
            <w:tcW w:w="1220" w:type="dxa"/>
            <w:vAlign w:val="bottom"/>
            <w:gridSpan w:val="6"/>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(46,993)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(228,041)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20" w:type="dxa"/>
            <w:vAlign w:val="bottom"/>
            <w:gridSpan w:val="8"/>
          </w:tcPr>
          <w:p>
            <w:pPr>
              <w:jc w:val="right"/>
              <w:ind w:right="228"/>
              <w:spacing w:after="0"/>
              <w:rPr>
                <w:sz w:val="20"/>
                <w:szCs w:val="20"/>
                <w:color w:val="auto"/>
              </w:rPr>
            </w:pPr>
            <w:r>
              <w:rPr>
                <w:rFonts w:ascii="Times New Roman" w:cs="Times New Roman" w:eastAsia="Times New Roman" w:hAnsi="Times New Roman"/>
                <w:sz w:val="18"/>
                <w:szCs w:val="18"/>
                <w:color w:val="auto"/>
              </w:rPr>
              <w:t>(366,415)</w:t>
            </w:r>
          </w:p>
        </w:tc>
        <w:tc>
          <w:tcPr>
            <w:tcW w:w="1220" w:type="dxa"/>
            <w:vAlign w:val="bottom"/>
            <w:gridSpan w:val="6"/>
          </w:tcPr>
          <w:p>
            <w:pPr>
              <w:jc w:val="right"/>
              <w:ind w:right="319"/>
              <w:spacing w:after="0"/>
              <w:rPr>
                <w:sz w:val="20"/>
                <w:szCs w:val="20"/>
                <w:color w:val="auto"/>
              </w:rPr>
            </w:pPr>
            <w:r>
              <w:rPr>
                <w:rFonts w:ascii="Times New Roman" w:cs="Times New Roman" w:eastAsia="Times New Roman" w:hAnsi="Times New Roman"/>
                <w:sz w:val="18"/>
                <w:szCs w:val="18"/>
                <w:color w:val="auto"/>
              </w:rPr>
              <w:t>(14,052)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33,807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(346,660)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form financing activities</w:t>
            </w:r>
          </w:p>
        </w:tc>
        <w:tc>
          <w:tcPr>
            <w:tcW w:w="2020" w:type="dxa"/>
            <w:vAlign w:val="bottom"/>
            <w:gridSpan w:val="8"/>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571,002</w:t>
            </w:r>
          </w:p>
        </w:tc>
        <w:tc>
          <w:tcPr>
            <w:tcW w:w="1220" w:type="dxa"/>
            <w:vAlign w:val="bottom"/>
            <w:gridSpan w:val="6"/>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34,540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(33,807)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571,735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 2020</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Non-VIE entities</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9"/>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right="12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15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158,563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(73,543)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(99,517)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(109,312)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(used in) financing activities</w:t>
            </w:r>
          </w:p>
        </w:tc>
        <w:tc>
          <w:tcPr>
            <w:tcW w:w="1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2,196,599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2,165,719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 2021</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500" w:type="dxa"/>
            <w:vAlign w:val="bottom"/>
            <w:gridSpan w:val="6"/>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Non-VIE entities</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0"/>
                <w:szCs w:val="10"/>
                <w:color w:val="auto"/>
              </w:rPr>
            </w:pPr>
          </w:p>
        </w:tc>
        <w:tc>
          <w:tcPr>
            <w:tcW w:w="88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60" w:type="dxa"/>
            <w:vAlign w:val="bottom"/>
          </w:tcPr>
          <w:p>
            <w:pPr>
              <w:spacing w:after="0"/>
              <w:rPr>
                <w:sz w:val="10"/>
                <w:szCs w:val="10"/>
                <w:color w:val="auto"/>
              </w:rPr>
            </w:pPr>
          </w:p>
        </w:tc>
        <w:tc>
          <w:tcPr>
            <w:tcW w:w="8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00" w:type="dxa"/>
            <w:vAlign w:val="bottom"/>
            <w:gridSpan w:val="6"/>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5"/>
                <w:szCs w:val="15"/>
                <w:color w:val="auto"/>
              </w:rPr>
            </w:pPr>
          </w:p>
        </w:tc>
        <w:tc>
          <w:tcPr>
            <w:tcW w:w="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(220,380)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w w:val="99"/>
              </w:rPr>
              <w:t>(257,506)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(477,886)</w:t>
            </w: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generated from investing activities</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(222,038)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4"/>
          </w:tcPr>
          <w:p>
            <w:pPr>
              <w:jc w:val="right"/>
              <w:ind w:right="288"/>
              <w:spacing w:after="0"/>
              <w:rPr>
                <w:sz w:val="20"/>
                <w:szCs w:val="20"/>
                <w:color w:val="auto"/>
              </w:rPr>
            </w:pPr>
            <w:r>
              <w:rPr>
                <w:rFonts w:ascii="Times New Roman" w:cs="Times New Roman" w:eastAsia="Times New Roman" w:hAnsi="Times New Roman"/>
                <w:sz w:val="18"/>
                <w:szCs w:val="18"/>
                <w:color w:val="auto"/>
              </w:rPr>
              <w:t>(11,265)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315,000</w:t>
            </w:r>
          </w:p>
        </w:tc>
        <w:tc>
          <w:tcPr>
            <w:tcW w:w="12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81,697</w:t>
            </w:r>
          </w:p>
        </w:tc>
        <w:tc>
          <w:tcPr>
            <w:tcW w:w="12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304,623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(315,000)</w:t>
            </w: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(52,899)</w:t>
            </w: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typical structure of cash flows through our organization is as follows: (i) we transfer funds to our WFOE, Beijing Burning Rock Biotech Limited, through either capital contributions or loans from our Hong Kong subsidiary, BR Hong Kong Limited; (ii) our WFOE makes loans to the VIE, Burning Rock (Beijing) Biotechnology Co. Ltd.; (iii) the VIE and its subsidiaries receive funds generated from sales of products and/or services to third party customers; and (iv) when the VIE intends to settle any amounts owed to us under the VIE Agreements, the VIE will pay service fees to our WFOE pursuant to the exclusive business cooperation agreement, and our WFOE will transfer funds to BR Hong Kong Limited, which in turn will transfer funds to us, all through distributions, dividends or repayment of shareholder loans. As of the date of this prospectus, none of our PRC subsidiaries nor VIE has declared or paid any dividends or made any distributions to their respective holding companies, including Burning Rock Biotech Limited, nor does any of them have intention to do so. As of the date of this prospectus, as the VIE has been loss making, it has not settled any amounts owed to us under the VIE Agreements and does not have the intention to do so. As of the date of this prospectus, Burning Rock Biotech Limited has not declared any dividend and does not have a plan to declare a dividend to its shareholders.</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There are limitations on foreign exchange and our ability to transfer cash among us, our subsidiaries (including our WFOE) and the VIEs, and to transfer funds across borders and to the U.S. investors. There is no assurance that the PRC government will not intervene or impose restrictions on the ability of us, our subsidiaries and the VIEs to transfer cash. Most of our cash is in Renminbi, and the PRC government could prevent the cash maintained from leaving the PRC, restrict deployment of the cash into our, our subsidiaries’ and the VIEs’ business and restrict the ability to pay dividends to their respective shareholders, including our U.S. shareholders. Such restrictions are primarily related to the following aspects:</w:t>
      </w:r>
    </w:p>
    <w:p>
      <w:pPr>
        <w:spacing w:after="0" w:line="89" w:lineRule="exact"/>
        <w:rPr>
          <w:sz w:val="20"/>
          <w:szCs w:val="20"/>
          <w:color w:val="auto"/>
        </w:rPr>
      </w:pPr>
    </w:p>
    <w:p>
      <w:pPr>
        <w:ind w:left="1080" w:right="8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in China currently permit payment of dividends only out of accumulated profits as determined in accordance with accounting standards and regulations in China. As a result, our PRC subsidiaries are restricted in their ability to transfer a portion of their net assets to us in the form of dividends;</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also controls the conversion of Renminbi into foreign currencies and the remittance of currencies out of the PRC. We may not be able to complete the administrative procedures required to register the remittance of the payment of our dividends, if any;</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PRC subsidiaries incurs debt on its own behalf in the future, the instruments governing the debt may restrict its ability to pay dividends or make other distributions to us;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PRC subsidiaries generate primarily all of their revenue in Renminbi, which is not freely convertible into other currencies. As a result, any restriction on currency exchange may limit the ability of our PRC subsidiaries to use their Renminbi revenues to pay dividends to us.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However, approval from or registration with appropriate governmental authorities or commercial banks authorized by such authorities is required where Renminbi is to be converted into foreign currency and remitted out of China to pay capital expenses, such as the repayment of loans denominated in foreign currencies.</w:t>
      </w:r>
    </w:p>
    <w:p>
      <w:pPr>
        <w:spacing w:after="0" w:line="80" w:lineRule="exact"/>
        <w:rPr>
          <w:rFonts w:ascii="Times New Roman" w:cs="Times New Roman" w:eastAsia="Times New Roman" w:hAnsi="Times New Roman"/>
          <w:sz w:val="18"/>
          <w:szCs w:val="18"/>
          <w:color w:val="auto"/>
        </w:rPr>
      </w:pPr>
    </w:p>
    <w:p>
      <w:pPr>
        <w:ind w:left="1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in response to the persistent capital outflow and the Renminbi’s depreciation against the U.S. dollar in 2016, the People’s Bank of China, or the PBOC, and the State Administration of Foreign Exchange, or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our PRC subsidiary’s dividends and other distributions may be subjected to tighter scrutiny. Furthermore, as the interpretation and implementation of these foreign exchange regulations has been constantly evolving, it is unclear how these regulations, and any future regulations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will be able to obtain the necessary approvals or complete the necessary filings and registrations required by the foreign exchange regulations. This may restrict our ability to implement our acquisition strategy and could adversely affect our business and prospects; and</w:t>
      </w:r>
    </w:p>
    <w:p>
      <w:pPr>
        <w:spacing w:after="0" w:line="95"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EIT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are further limitations on our PRC subsidiaries’ and the VIEs’ ability to distribute earnings to their respective shareholders. Current PRC regulations permit the VIEs to pay profits to the WOFE only from the VIEs’ accumulated profits, and only in accordance with applicable PRC laws and regulations. PRC regulations also require our PRC subsidiaries to set aside at least 10% of their after-tax profits each year to fund the statutory reserve and restrict dividend and shareholder distributions until the statutory reserve reach 50% of their respective registered capital. Our PRC subsidiaries may at their discretion allocate a portion of their after-tax profits to staff welfare and bonus funds in accordance with relevant PRC rules and regulations. These reserve funds and staff welfare and bonus funds cannot be distributed as cash dividends. Moreover, if the PRC subsidiaries incur debt on their own behalf in the future, the instruments governing the debt may restrict their ability to pay dividends or make other distributions to us.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there are limitations on our ability to settle amounts owed by the VIE under the relevant VIE agreements to us. We are entitled to receive substantially all of the economic benefits of the VIE in consideration for the services provided by our WFOE, according to the VIE Agreements. See “Our Company—Contractual Arrangements” in this prospectus for more information. However, the VIE agreements are not equivalent to equity ownership. For example, the contractually bound nominee shareholders of the VIE could potentially breach their contractual agreements with us by failing to fulfill their contractual obligations, failing to act in our interest, or acting to the detriment of our interest. Moreover, as these nominee shareholders, rather than our WFOE and us, are the actual shareholders of the VIE, we are unable to independently exercise any rights as a shareholder of the VIE and force the VIE to distribute its earnings to us. In addition, the legality or enforceability of the VIE agreements have never been tested in a court of law in China. If any relevant contractual provisions were to ultimately be held unenforceable by the PRC courts or other governmental authorities, such uncertainty could result in us facing a reduced ability or complete inability to receive the economic benefits of the business operations of the VIEs. These restrictions and limitations could limit our ability to settle amounts owed under the VIE agreements and our subsidiaries’ ability to pay dividends.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do not have cash management policies that dictate how funds are transferred between us, our subsidiaries and the VIEs. In practice, we estimate and allocate funds to our WFOE and the VIEs based on their respective available cash balances and forecasted cash requirements. As of the date of this prospectus, cash transfers between Burning Rock Biotech Limited, our subsidiaries and the VIEs have been made in one direction only and in the direction to the VIE.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cash flows that have occurred between our Company, our subsidiaries and the VIEs are summarized as the following.</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VIE, Burning Rock (Beijing) Biotechnology Co. Ltd., generates and retains cash generated from operating activities and re-invests it in the business activities conducted by the VIE and its subsidiaries. Unrelated to those services as stipulated under the Exclusive Business Operation Agreement, the agreement that allows the Company to receive economic benefits from the VIE, our WFOE, Beijing Burning Rock Biotech Limited, charges service fee to the VIEs for certain operating expenses that it bears on behalf of the VIE for the business operations of the VIE and its subsidiaries. The service fee is determined at an amount subject to mutual negotiation and agreement between the WFOE and the VIE. Our WFOE charged service fees of RMB26.4 million (US$4.1 million), RMB64.9 million (US$10.2 million) and RMB72.7 million (US$11.4 million) to the VIE and received RMB42.2 million (US$6.6 million), RMB25.3 million (US$4.0 million) and RMB88.7 million (US$13.9 million) of service fees from the VIE in 2019, 2020 and 2021, respectively. We transferred nil, RMB68.9 million (US$10.8 million) and nil of financing proceeds to our WFOE, which was then transferred to the VIEs as advance payments during the same periods. Additionally, we transferred RMB33.8 million (US$5.3 million), nil and RMB315.0 million (US$49.4 million) of financing proceeds to our WFOE and our Hong Kong subsidiary, which was then transferred to the VIEs, in 2019, 2020 and 2021, respectively. As the VIE has been loss making, it has not settled any amount owed to the WFOE under the VIE Agreements.</w:t>
      </w:r>
    </w:p>
    <w:p>
      <w:pPr>
        <w:spacing w:after="0" w:line="192"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We may transfer cash proceeds raised from future overseas financing activities through our holding company, to our WFOE through capital contributions and shareholder loans. Our WFOE is expected to then transfer funds to the VIE and its subsidiaries to meet their capital needs.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However, the contractual arrangements may not be as effective as direct ownership in providing us with control over the VIE, and we may incur substantial costs to enforce the terms of the arrangements. The VIE, its subsidiaries or shareholders could breach their contractual arrangements with us in ways including failing to fulfill their contractual obligations or taking other actions that are detrimental to our interests. If we had direct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 its subsidiaries and its shareholders of their obligations under the contracts to exercise any control over the VIE. The VIE’s shareholders may have actual or potential conflicts of interest with us, and may not act in the best interests of our company. These shareholders may refuse to sign or breach, or cause the VIE to breach, or refuse to renew, the existing contractual arrangements we have with them and the VIE. If any dispute relating to these contracts arises, we will have to enforce our rights under these contracts through the operations of PRC law and arbitration, litigation and other legal proceedings and, therefore, will be subject to uncertainties in the PRC legal system. Therefore, our contractual arrangements may not be as effective in ensuring our control over the relevant portion of our business operations as direct ownership would be.</w:t>
      </w:r>
    </w:p>
    <w:p>
      <w:pPr>
        <w:spacing w:after="0" w:line="18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Company and its investors may never directly hold equity interests in the businesses that are conducted by the VIEs. Uncertainties in the PRC legal system could limit our ability to enforce these contractual arrangements, and these contractual arrangements have not been tested in a court of law. The legal environment in the PRC is not as developed as in other jurisdictions, such as the United States. As a result, uncertainties in the PRC legal system could limit our ability, as a Cayman holding company, to enforce these contractual arrangements and doing so may be quite costly. There are also substantial uncertainties regarding the interpretation and application of current and future PRC laws, regulations and rules regarding the status of the rights of our Cayman Islands holding company with respect to its contractual arrangements with the VIE, its founders and owners. It is uncertain whether any new PRC laws or regulations relating to the VIE structures will be adopted or if adopted, what they would provide. If we or the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 addition, Mr. Yusheng Han, our founder, chairman of the board of directors and chief executive officer holds 45.9% of the equity interests in the VIE. Mr. Han also has 54.2% of the aggregate voting power of our issued and outstanding share capital due to the disparate voting powers associated with our dual-class share structure. Accordingly, the enforceability of the various contracts described above by our company against the VIE is substantially dependent upon Mr. Han. If he fails to perform his obligations under the contractual arrangements, we could be unable to enforce the contractual arrangements that enable us to consolidate the VIE’s operations and financial results in our financial statements in accordance with U.S. GAAP as the primary beneficiary. If this happens, we would need to deconsolidate the VIEs. The majority of our assets, including the necessary licenses to conduct business in China are held by the VIEs. A significant part of our revenues is generated by the VIEs. An event that results in the deconsolidation of the VIE would have a material effect on our operations and result in the value of the securities diminish substantially or even become worthless. For a detailed description of the risks associated with our corporate structure, please refer to risks disclosed under “Item 3.D. Key Information—Risk Factors—Risks Related to Our Corporate Structure” in our 2021 Form 20-F, which is incorporated by reference, and “Risk Factors—Risks Related to Our Corporate Structure” in this prospectus.</w:t>
      </w:r>
    </w:p>
    <w:p>
      <w:pPr>
        <w:spacing w:after="0" w:line="18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On December 16, 2021, the PCAOB issued the HFCA Act Determination Report, according to which our auditor is subject to the determinations that the PCAOB is unable to inspect or investigate completely. We were provisionally identified by the SEC on May 4, 2022 under the HFCA Act and were conclusively identified on May 25, 2022. See https://www.sec.gov/hfcaa. Trading in our ADSs on the NASDAQ or over-the-counter will be prohibited and, as a result, our ADSs will be delisted under HFCA Act, if the PCAOB has determined that it has been unable to inspect our auditor located in China for three consecutive years, starting from 2022. The potential enactment of the Accelerating Holding Foreign Companies Accountable Act would decrease the number of non-inspection years from three years to two, thus reducing the time period before our ADSs will be prohibited from</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trading on the Nasdaq Stock Market or OTC or delisted. 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See “Risk Factors—Risks Relating to Doing Business in the PRC—If the U.S. Public Company Accounting Oversight Board, or the PCAOB, is unable to inspect our auditors as required under the Holding Foreign Companies Accountable Act, the SEC will prohibit the trading of our ADSs. A trading prohibition for our ADSs, or the threat of a trading prohibition, may materially and adversely affect the value of your investment. Additionally, the inability of the PCAOB to conduct inspections of our auditors deprives our investors of the benefits of such inspections” in this prospectus for more details.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Significant Risk Factors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Uncertainties with respect to the PRC legal system. </w:t>
      </w:r>
      <w:r>
        <w:rPr>
          <w:rFonts w:ascii="Times New Roman" w:cs="Times New Roman" w:eastAsia="Times New Roman" w:hAnsi="Times New Roman"/>
          <w:sz w:val="18"/>
          <w:szCs w:val="18"/>
          <w:color w:val="auto"/>
        </w:rPr>
        <w:t>The PRC legal system is a civil law system based on written statutes. Unlike common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it is a system in which prior court decisions have limited value as precedents. Our PRC subsidiaries and the VIEs are subject to various PRC laws and regulations generally applicable to companies in China. However, since these laws and regulations are relatively new and the PRC legal system continues to rapidly evolve,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adversely affect our business and impede our ability to continue our operations, and may further affect the legal remedies and protections available to investors, which may, in turn, adversely affect the value of your investment. For details, please refer to the risks disclosed under “Risk Factors—Risks Relating to Doing Business in the PRC—Uncertainties in the interpretation and enforcement of PRC laws and regulations could limit the legal protections available to you and us” in this prospectus.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of new regulations, significant new government oversight in China. </w:t>
      </w:r>
      <w:r>
        <w:rPr>
          <w:rFonts w:ascii="Times New Roman" w:cs="Times New Roman" w:eastAsia="Times New Roman" w:hAnsi="Times New Roman"/>
          <w:sz w:val="18"/>
          <w:szCs w:val="18"/>
          <w:color w:val="auto"/>
        </w:rPr>
        <w:t>As we mainly conduct our business in China, we are subject to the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regulations of the PRC. These PRC laws and their interpretations and enforcement continue to develop and are subject to change, and the PRC government may adopt other rules and restrictions in the future. The PRC government may exert, at any time, substantial intervention and influence over the manner of our operations, and the rules and regulations to which we are subject, including the ways they are enforced, may change rapidly and with little advance notice to us or our shareholders, which could result in a material change in our operations and/or the value of our securities. For details, please refer to the risks disclosed under “Risk Factors—Risks Relating to Doing Business in the PRC—Recent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in this prospectus.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of additional future government oversight and control over foreign offerings of China-based companies. </w:t>
      </w:r>
      <w:r>
        <w:rPr>
          <w:rFonts w:ascii="Times New Roman" w:cs="Times New Roman" w:eastAsia="Times New Roman" w:hAnsi="Times New Roman"/>
          <w:sz w:val="18"/>
          <w:szCs w:val="18"/>
          <w:color w:val="auto"/>
        </w:rPr>
        <w:t>Recent statements by the Chinese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have indicated an intent to exert more oversight and control over offerings that are conducted overseas and/or foreign investments in China based issuers like us. While it is currently uncertain whether the recently published Draft Overseas Listing Regulations apply to the follow-on offerings or other offerings of the Chinese companies that have been listed overseas like us, any future action by the PRC government interpreting the regulations to cover such offerings by issuers like us could significantly limit or completely hinder our ability to offer or continue to offer securities to investors and could cause the value of such securities to significantly decline or be worthless. For details, please refer to the risks disclosed under “Risk Factors— Risks Relating to Doing Business in the PRC—Recent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significantly decline or become worthless” in this prospectus, “Item 3. Key Information— Risks Associated with Our Corporate Structure” and “Item 3. Key Information—Risk Factors—Risks Relating to Doing Business in the PRC—We are subject to many of the economic and political risks associated with emerging markets due to our operation in China. Adverse changes in the Chinese or global economic, political and social conditions as well as government policies could adversely affect our business and prospects” in the 2021 Annual Report.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Risk of our directors and officers being nationals or residents in China</w:t>
      </w:r>
      <w:r>
        <w:rPr>
          <w:rFonts w:ascii="Times New Roman" w:cs="Times New Roman" w:eastAsia="Times New Roman" w:hAnsi="Times New Roman"/>
          <w:sz w:val="18"/>
          <w:szCs w:val="18"/>
          <w:color w:val="auto"/>
        </w:rPr>
        <w:t>. As an exempted company limited by shares incorporated under the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Cayman Islands with substantially all of our operations and assets located in China and with most of our directors and senior executive officers being nationals or residents in China, it may be difficult to enforce any judgments obtained from foreign courts (including from a U.S. federal or state court) against our company and our directors and officers in China. Please refer to the risks disclosed under “Risk Factors—Risks Relating to Doing Business in the PRC—You may experience difficulties in effecting service of legal process, enforcing foreign judgments or bringing actions in China against us, our directors or our management named in this prospectus based on foreign laws, and the ability of U.S. authorities to bring actions in China may also be limited” in this prospectus.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risk factors and uncertainties described under the heading “Item 3. Key Information—D. Risk Factors” in our most recent annual report on Form 20-F, which is incorporated in this prospectus by reference, as updated by our subsequent filings under the Securities Exchange Act of 1934, as amended, or the Exchange Act, and any risk factors and other information described in the applicable prospectus supplement or relevant free writing prospectus before acquiring any of our securities. These risks and uncertainties could materially affect our business, results of operations or financial condition and cause the value of our securities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11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w:t>
      </w:r>
    </w:p>
    <w:p>
      <w:pPr>
        <w:spacing w:after="0" w:line="67"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Negative List (2021 Edition) promulgated on December 27, 2021 and became effective on January 1, 2022, foreign investors are prohibited from investing in businesses related to the research, development, and application of genomic diagnosis and treatment technology.</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Beijing Burning Rock Biotech Limited, our wholly owned subsidiary, or WFOE, is considered a foreign-invested enterprise. To comply with PRC laws and regulations, we conduct substantially all of our business in the PRC through Burning Rock (Beijing) Biotechnology Co., Ltd., the VIE, and its subsidiaries, based on contractual arrangements entered into among WFOE, the VIE and its shareholders.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believe that, although we do not have equity ownership of the VIE, our corporate structure and contractual arrangements enable us to: (i) be the exclusive provider of business support, technical and consulting services in exchange for a fee; (ii) receive substantially all of the economic benefits and bear the obligation to absorb substantially all of the losses of the VIE; (iii) have an irrevocable and exclusive right to purchase, or to designate one or more persons to purchase, from the registered shareholders all or any part of their equity interests in the VIE at any time and from time to time in our absolute discretion to the extent permitted by PRC laws; (iv) have an irrevocable and exclusive right to purchase, or to designate one or more persons to purchase, from the VIE all or any part of its assets at any time and from time to time in our absolute discretion to the extent permitted by PRC laws;</w:t>
      </w:r>
    </w:p>
    <w:p>
      <w:pPr>
        <w:spacing w:after="0" w:line="5" w:lineRule="exact"/>
        <w:rPr>
          <w:sz w:val="20"/>
          <w:szCs w:val="20"/>
          <w:color w:val="auto"/>
        </w:rPr>
      </w:pPr>
    </w:p>
    <w:p>
      <w:pPr>
        <w:ind w:left="120" w:right="40" w:hanging="4"/>
        <w:spacing w:after="0" w:line="252"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us, any person authorized by us (except the shareholders of the VIE), as exclusive agent and attorney to act on behalf of the shareholders of the VIE on all matters concerning the VIE and to exercise all their rights as a registered shareholder of the VIE in accordance with PRC laws and the articles of the VIE; and (vi) pledge as first-ranking charge all of the equity interests in the VIE to us as collateral security for any and all of the guaranteed debt under the contractual arrangements and to secure performance of the obligations under the contractual arrangements. The contractual arrangements allow the results of operations and assets and liabilities of the VIE and its subsidiaries to be consolidated into our results of operations and assets and liabilities under U.S. GAAP as if they were subsidiaries of our Group.</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PRC counsel, Tian Yuan Law Firm, is of the opinion that (i) the ownership structure of WFOE and the VIE does not violate applicable PRC laws and regulations currently in effect, and (ii) the contractual arrangements are valid, binding and enforceable in accordance with the applicable PRC laws or regulations currently in effect. However, there can be no assurance that the PRC government authorities will take a view that is not contrary to or otherwise different from the opinion of our PRC counsel stated above. There is also the possibility that the PRC government authorities may adopt new laws, regulations and interpretations that may invalidate the contractual arrangements. If the PRC government determines that we are in violation of PRC laws or regulations or lack the necessary permits or licenses to operate our business, the relevant PRC regulatory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authorities, including the PRC National Health Commission, or the NHC, would have broad discretion in dealing with such violations or failures, including, but not limited to:</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operating 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or confiscating any of our income that they deem to have been obtained through illegal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or WFOE and the VIE may not be able to comply;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WFOE and the VIE to restructure the relevant ownership structure or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from our initial public offering and the concurrent private placement or other of our financing activities to finance the business and operations of the VIE and its subsidiaries;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Any of these actions could cause significant disruption to our business operations, and may adversely affect our business, financial condition and results of operations. Although we believe we, our PRC subsidiaries and the VIE are not in violation of current PRC laws and regulations, we cannot assure you that the PRC government would agree that our contractual arrangements comply with PRC licensing, registration or other regulatory requirements, with existing policies or with requirements or policies that may be adopted in the future. The PRC government has broad discretion in determining rectifiable or punitive measures for non-compliance with or violations of PRC laws and regulations. The PRC government could disallow the VIE structure, which would likely result in a material change in our operations and/or value of our securities, including that it could cause the value of such securities to significantly decline or become worthless. The VIE agreements have never been tested in a court of law in China. If the PRC government deems that our contractual arrangements in relation to the VIE do not comply with PRC regulatory restrictions on foreign investment in the relevant industries, or if these regulations or the interpretation of existing regulations change or are interpreted differently in the future, we could be subject to severe penalties or lose the ability to assert contractual control over the assets of the VIEs that conduct substantially all of our operation. If the PRC government determines that we or the VIEs do not comply with applicable law, it could revoke the VIEs’ business and operating licenses, require the VIEs to discontinue or restrict the VIEs’ operations, restrict the VIEs’ right to collect revenues, block the VIEs’ online apps and websites, require the VIEs to restructure our operations, impose additional conditions or requirements with which the VIEs may not be able to comply, impose restrictions on the VIEs’ business operations, or take other regulatory or enforcement actions against the VIEs that could be harmful to their business. Any of these or similar occurrences could significantly disrupt our or the VIEs’ business operations or restrict the VIEs from conducting a substantial portion of their business operations, which could materially and adversely affect the VIEs’ business, financial condition and results of operations. If any of these occurrences results in our inability to govern the activities of any of the VIEs that most significantly impact its economic performance, and/or our failure to receive the economic benefits from the VIEs, we may not be able to consolidate the VIEs in our consolidated financial statements in accordance with U.S. GAAP. In addition, our shares may decline in value or become worthless if we are unable to consolidate the VIE’s operations and financial results in our financial statements in accordance with U.S. GAAP as the primary beneficiary since the VIEs conduct a significant part of our operations.</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PRC</w:t>
      </w:r>
    </w:p>
    <w:p>
      <w:pPr>
        <w:spacing w:after="0" w:line="11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we mainly conduct our business in China, we may be subject to PRC laws relating to, among others, data security and restrictions over foreign investments in scientific research and technical services and other industry sectors set out in the Negative List (2021 Edition). Specifically, 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These PRC laws and their interpretations and enforcement continue to develop and are subject to change, and the PRC government may adopt other rules and restrictions in the future.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legal and operational risks associated with our operations in China. The PRC government has significant authority to exert influence on the ability of a company with operations in China, including us, to conduct its business. Changes in China’s economic, political or social conditions or government policies could materially and adversely affect our business and results of operations. We are subject to risks due to the uncertainty of the interpretation and the application of the PRC laws and regulations, including but not limited to the risks of uncertainty about any future actions of the PRC government on U.S. listed companies. We may also be subject to sanctions imposed by PRC regulatory agencies, including CSRC, if we fail to comply with their rules and regulations. Any actions by the PRC government to exert more oversight and control over offerings that are conducted overseas and/or foreign investment in companies having operations in China, including us, could significantly limit or completely hinder our ability to offer or continue to offer securities to investors, and cause the value of our securities to significantly decline or become worthless. These China-related risks could result in a material change in our operations and/or the value of our securities, or could significantly limit or completely hinder our ability to offer securities to investors in the future and cause the value of such securities to significantly decline or become worthless.</w:t>
      </w:r>
    </w:p>
    <w:p>
      <w:pPr>
        <w:spacing w:after="0" w:line="194"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PRC government may exert, at any time, substantial intervention and influence over the manner of our operations.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new laws and regulations related to data security, and expanding the efforts in anti-monopoly enforcement.</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28, 2021, the CAC, and 12 other departments jointly promulgated the newly revised Measures for Cybersecurity Review with effect from February 15, 2022 (“</w:t>
      </w:r>
      <w:r>
        <w:rPr>
          <w:rFonts w:ascii="Times New Roman" w:cs="Times New Roman" w:eastAsia="Times New Roman" w:hAnsi="Times New Roman"/>
          <w:sz w:val="18"/>
          <w:szCs w:val="18"/>
          <w:b w:val="1"/>
          <w:bCs w:val="1"/>
          <w:color w:val="auto"/>
        </w:rPr>
        <w:t>Measures</w:t>
      </w:r>
      <w:r>
        <w:rPr>
          <w:rFonts w:ascii="Times New Roman" w:cs="Times New Roman" w:eastAsia="Times New Roman" w:hAnsi="Times New Roman"/>
          <w:sz w:val="18"/>
          <w:szCs w:val="18"/>
          <w:color w:val="auto"/>
        </w:rPr>
        <w:t>”), which provides that (i) a critical information infrastructure operator (“</w:t>
      </w:r>
      <w:r>
        <w:rPr>
          <w:rFonts w:ascii="Times New Roman" w:cs="Times New Roman" w:eastAsia="Times New Roman" w:hAnsi="Times New Roman"/>
          <w:sz w:val="18"/>
          <w:szCs w:val="18"/>
          <w:b w:val="1"/>
          <w:bCs w:val="1"/>
          <w:color w:val="auto"/>
        </w:rPr>
        <w:t>CIIO</w:t>
      </w:r>
      <w:r>
        <w:rPr>
          <w:rFonts w:ascii="Times New Roman" w:cs="Times New Roman" w:eastAsia="Times New Roman" w:hAnsi="Times New Roman"/>
          <w:sz w:val="18"/>
          <w:szCs w:val="18"/>
          <w:color w:val="auto"/>
        </w:rPr>
        <w:t>”) which intends to purchase network products and services shall prejudge the possible risks to national security that may arise after the products and services are put into use and where national security will or may be affected, the operator shall apply with the Cybersecurity Review Office for cybersecurity review, and (ii) a network platform operator (“</w:t>
      </w:r>
      <w:r>
        <w:rPr>
          <w:rFonts w:ascii="Times New Roman" w:cs="Times New Roman" w:eastAsia="Times New Roman" w:hAnsi="Times New Roman"/>
          <w:sz w:val="18"/>
          <w:szCs w:val="18"/>
          <w:b w:val="1"/>
          <w:bCs w:val="1"/>
          <w:color w:val="auto"/>
        </w:rPr>
        <w:t>NPO</w:t>
      </w:r>
      <w:r>
        <w:rPr>
          <w:rFonts w:ascii="Times New Roman" w:cs="Times New Roman" w:eastAsia="Times New Roman" w:hAnsi="Times New Roman"/>
          <w:sz w:val="18"/>
          <w:szCs w:val="18"/>
          <w:color w:val="auto"/>
        </w:rPr>
        <w:t>”) that possesses more than one million users’ personal information must apply for cybersecurity review when listing in a foreign country.</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November 14, 2021, the CAC publicly solicited opinions on the Regulations on the Administration of Cyber Data Security (Draft for Comments) which expanded the scope of application of cybersecurity review, established the data classified and graded protection system, and defined the relevant rules for cross-border security management of data. It provides that data processors carrying out the following activities shall apply for cybersecurity review: (i) merger, reorganization or division of Internet platform operators that gather and possess a large number of data resources having bearing on the national security, economic development or public interests, which affects or may affect national security; (ii) listing in a foreign country of a data processor that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processes the personal information of more than one million persons; (iii) listing in Hong Kong of a data processor, which affects or may affect national security; and (iv) other data processing activities that affect or may affect national security.</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According to the above provisions, we will be subject to cybersecurity review if we are identified as a CIIO or NPO and our business affects or may affect national security, or we have more than one million users’ personal information and plans to be listed abroad.</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and our PRC legal counsel, Tian Yuan Law Firm, are of the view that, as of the date of this prospectus, the possibility that we become identified as a CIIO or NPO and accordingly would be subject to the cybersecurity review pursuant to the relevant regulations and policies that have been issued by the CAC is relatively low, due to the following reasons:</w:t>
      </w:r>
    </w:p>
    <w:p>
      <w:pPr>
        <w:spacing w:after="0" w:line="81" w:lineRule="exact"/>
        <w:rPr>
          <w:sz w:val="20"/>
          <w:szCs w:val="20"/>
          <w:color w:val="auto"/>
        </w:rPr>
      </w:pPr>
    </w:p>
    <w:p>
      <w:pPr>
        <w:ind w:left="1080" w:right="14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received any CIIO identification notice as of the date of this prospectus, which is required to be issued in a timely manner by competent departments responsible for the security protection work of critical information infrastructures after they have organized the CIIO identification in the industry in accordance with the Regulations on the Security Protection of Critical Information Infrastructures;</w:t>
      </w:r>
    </w:p>
    <w:p>
      <w:pPr>
        <w:spacing w:after="0" w:line="81" w:lineRule="exact"/>
        <w:rPr>
          <w:rFonts w:ascii="Times New Roman" w:cs="Times New Roman" w:eastAsia="Times New Roman" w:hAnsi="Times New Roman"/>
          <w:sz w:val="18"/>
          <w:szCs w:val="18"/>
          <w:color w:val="auto"/>
        </w:rPr>
      </w:pPr>
    </w:p>
    <w:p>
      <w:pPr>
        <w:ind w:left="1080" w:right="340" w:hanging="532"/>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NPO is not defined in the Measures and even if a company has been identified as NPO, whether such a company needs to be subject to cybersecurity review depends on whether it will “affect or may affect national security.” As of the date of this prospectus, we have not experienced any major information security incident in relation to the theft, leakage, damage, illegal use or illegal export of data or personal information. In addition, all the user data collected by us in business operation are stored in mainland China;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no more than one million users’ personal information.</w:t>
      </w:r>
    </w:p>
    <w:p>
      <w:pPr>
        <w:spacing w:after="0" w:line="22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However, according to article 16 of the Measures, the member unit of the cybersecurity review work mechanism (the “</w:t>
      </w:r>
      <w:r>
        <w:rPr>
          <w:rFonts w:ascii="Times New Roman" w:cs="Times New Roman" w:eastAsia="Times New Roman" w:hAnsi="Times New Roman"/>
          <w:sz w:val="18"/>
          <w:szCs w:val="18"/>
          <w:b w:val="1"/>
          <w:bCs w:val="1"/>
          <w:color w:val="auto"/>
        </w:rPr>
        <w:t>Cybersecurity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has the right to initiate review on network products and services and data processing activities that it deems as “affect or may affect 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at its own discretion. If the Cybersecurity Member Unit decides to take a cybersecurity review on us and we fail such review, it could significantly limit or completely hinder our ability to offer or continue to offer securities to investors and cause the value of our securities to significantly decline or become worthless.</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but in anticipation of the strengthened implementation of cybersecurity laws and regulations and the expansion of our business, we face potential risks if we are deemed as a CIIO under the Cybersecurity Law. In such case, we must fulfill certain obligations as required under the Cybersecurity Law and other applicable laws, including, among others, storing personal information and important data collected and produced within the PRC territory during our operations in China, which we are already doing in our business, and we may be subject to review when purchasing internet products and services.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prospectus, we have not been involved in any investigations on cybersecurity review made by the CAC on such basis, and we have not received any inquiry, notice, warning, or sanctions in such respect. Based on the foregoing, we and our PRC legal counsel, Tian Yuan Law Firm, do not expect that, as of the date of this prospectus, the current applicable PRC laws on cybersecurity would have a material adverse impact on our business. After consulting with our PRC legal counsel, Tian Yuan Law Firm, we believe that we are in compliance with regulations or policies that have been issued by the CAC as of the date of this prospectus in all material aspects, on the following bases: (i) we have set up internal cybersecurity regulations, including data backup and recovery measures and disaster recovery measures; (ii) we have completed the Grade III information security protection filing as required by the relevant regulations and policies issued by relevant authorities; (iii) we inform our users and obtain their consent before collecting their personal</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information; (iv) we store relevant information in our own severs within the PRC; (v) we have not been investigated or received any request from any CAC authorities as of the date of this prospectus; (vi) we have not been subject to any administrative penalties regarding cybersecurity or data security issues as of the date of this prospectus; and (vii) we have not been a party to any litigation or arbitration regarding with cybersecurity or data security issues as of the date of this prospectus. As advised by Tian Yuan Law Firm, our PRC counsel, as of the date of this prospectus, our proposed offering is not subject to any review under the cybersecurity laws and regulations since we process no more than one million users’ personal information and are not deemed as a CIIO or NPO.</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As of the date of this prospectus, we have not been involved in any investigations on data security compliance made in connection with the PRC Data Security Law, and we have not received any inquiry, notice, warning, or sanctions in such respect. Based on the foregoing, we do not expect that, as of the date of this prospectus, the PRC Data Security Law would have a material adverse impact on our business.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July 6, 2021, the relevant PRC governmental authorities published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prospectus, we have not received any inquiry, notice, warning, or sanctions from the CSRC or any other PRC government authorities. Based on the foregoing and the currently effective PRC laws, we and our PRC legal counsel, Tian Yuan Law Firm, are of the view that, as of the date of this prospectus, these opinions do not have a material adverse impact on our business.</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Provisions of the State Council on the Administration of Overseas Securities Offering and Listing by Domestic Companies (Draft for Comments), and Administrative Measures for the Filing of Overseas Securities Offering and Listing by Domestic Companies (Draft for Comments), or, collectively, the Draft Overseas Listing Regulations, which set out the new regulatory requirements and filing procedures for Chinese companies seeking direct or indirect listing in overseas markets. The Draft Overseas Listing Regulations, among others, stipulate that Chinese companies that seek to offer and list securities in overseas markets shall fulfill the filing procedures with and report relevant information to the CSRC, and that an initial filing shall be submitted within three working days after the application for an initial public offering in an overseas market is submitted, and a second filing shall be submitted within three working days after the listing is completed. Moreover, an overseas offering and listing is prohibited under circumstances if (i) it is prohibited by PRC laws, (ii) it may constitute a threat to or endanger national security as reviewed and determined by competent PRC authorities, (iii) it has material ownership disputes over equity, major assets, and core technology, (iv) in recent three years, the Chinese operating entities and their controlling shareholders and actual controllers have committed relevant prescribed criminal offenses or are currently under investigations for suspicion of criminal offenses or major violations, (v) the directors, supervisors, or senior executives have been subject to administrative punishment for severe violations, or are currently under investigations for suspicion of criminal offenses or major violations, or (vi) it has other circumstances as prescribed by the State Council. The Draft Overseas Listing Regulations, among others, stipulate that when determining whether an offering and listing shall be deemed as “an indirect overseas offering and listing by a Chinese company”, the principle of “substance over form” shall be followed, and if the issuer meets the following conditions, its offering and listing shall be determined as an “indirect overseas offering and listing by a Chinese company” and is therefore subject</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filing requirement: (i) the revenues, profits, total assets or net assets of the Chinese operating entities in the most recent financial year accounts for more than 50% of the corresponding data in the issuer’s audited consolidated financial statements for the same period; and (ii) the majority of senior management in charge of business operation are Chinese citizens or have domicile in PRC, and its principal place of business is located in PRC or main business activities are conducted in PRC. As advised by our PRC legal counsel, the Draft Overseas Listing Regulations were released only for soliciting public comment at this stage and their provisions and anticipated adoption or effective date are subject to changes, and thus their interpretation and implementation remain substantially uncertain. It is uncertain whether the Draft Overseas Listing Regulations apply to the follow-on offerings or other offerings of the Chinese companies that have been listed overseas. We cannot predict the impact of the Draft Overseas Listing Regulations on us at this stage.</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our ability to accept foreign investments and conduct follow-on offerings, and listing or continuing listing on a U.S. or other foreign exchanges. In addition, the PRC government has recently published new policies that significantly affected certain industries such as the education and internet industries, and we cannot rule out the possibility that it will in the future release regulations or policies regarding any other industry including the industry in which we operate, which could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could limit the legal protections available to you and us.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common law systems, it is a system in which prior court decisions have limited value as precedents. Our PRC subsidiaries and the VIEs are subject to various PRC laws and regulations generally applicable to companies in China. However, since these laws and regulations are relatively new and the PRC legal system continues to rapidly evolve, their interpretation is not always consistent and their enforcement involves uncertainties.</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particular, PRC laws and regulations concerning the cancer genotyping industry are developing and evolving. Although we have taken measures to comply with the laws and regulations applicable to our business operations and to avoid conducting any non-compliant activities under these laws and regulations, the PRC governmental authorities may promulgate new laws and regulations regulating cancer genotyping industries, some of which may have a retroactive effect. We cannot assure you that our business operations would not be deemed to violate any such new PRC laws or regulations. Moreover, developments in the cancer genotyping industry may lead to changes in PRC laws, regulations and policies or in the interpretation and application of existing laws, regulations and policies, which in turn may limit or restrict us, and could adversely affect our business and operations.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rely on administrative and court proceedings to enforce our legal rights. However, since the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a retroactive effect. As a result, we may not be aware of our violation of these policies and rules until sometime after the violation. These types of uncertainties, including uncertainty over the scope and effect of our contractual, property (including intellectual property) and procedural rights, and any failure to respond to changes in the regulatory environment in China, could adversely affect our business and impede our ability to continue our operations, and may further affect the legal remedies and protections available to investors, which may, in turn, adversely affect the value of your investment.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U.S. Public Company Accounting Oversight Board, or the PCAOB, is unable to inspect our auditors as required under the Holding Foreign Companies Accountable Act, the SEC will prohibit the trading of our ADSs. A trading prohibition for our ADSs, or the threat of a trading prohibition, may materially and adversely affect the value of your investment. Additionally, the inability of the PCAOB to conduct inspections of our auditors deprives our investors of the benefits of such inspections.</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U.S. Holding Foreign Companies Accountable Act, or the HFCA Act, was enacted into law on December 18, 2020. Under the HFCA Act, if the SEC determines that we have filed audit reports issued by a registered public accounting firm that has not been subject to inspection by the PCAOB for three consecutive years (beginning with those we are to file in 2022), the SEC will prohibit our securities, including our ADSs, from being traded on a U.S. national securities exchange, including the Nasdaq, or in the over-the-counter trading market in the U.S. The process for implementing trading prohibitions pursuant to the HFCA Acts will be based on a list of registered public accounting firms that the PCAOB has been unable to inspect and investigate completely as a result of a position taken by a non-U.S. government, or the Relevant Jurisdiction. The first such list was included in a release by the PCAOB on December 16, 2021, or the PCAOB December 2021 Release, and our auditor was included on that list. The SEC will review annual reports filed with it in 2022 to determine if the auditor used for such reports was so identified by the PCAOB, and such issuers will be designated as “Commission Identified Issuers” on a list to be published by the SEC. If an issuer is a Commission Identified Issuer for three consecutive years (which will be determined after the third such annual report), the SEC will issue an order that will implement the trading prohibitions described above. In March 2022, the SEC issued its first “Conclusive list of issuers identified under the HFCAA” indicating that those companies are now formally subject to the delisting provisions if they remain on the list for three consecutive years. We were provisionally identified by the SEC on May 4, 2022 under the HFCA Act and were conclusively identified on May 25, 2022. See </w:t>
      </w:r>
      <w:r>
        <w:rPr>
          <w:rFonts w:ascii="Times New Roman" w:cs="Times New Roman" w:eastAsia="Times New Roman" w:hAnsi="Times New Roman"/>
          <w:sz w:val="18"/>
          <w:szCs w:val="18"/>
          <w:u w:val="single" w:color="auto"/>
          <w:color w:val="auto"/>
        </w:rPr>
        <w:t>https://www.sec.gov/hfcaa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Unless we are able to retain a PCAOB-registered auditor subject to PCAOB inspection and investigation, we would expect that a trading prohibition for our ADSs could be issued shortly after the filing of our annual report on Form 20-F for 2023, which would be due on April 30, 2024. Given that all PCAOB-registered firms in China were included on the list in the PCAOB December 2021 Release, our ability to retain an auditor subject to PCAOB inspection and investigation will depend on the relevant U.S. and PRC regulators reaching an agreement to permit these inspections and investigations. The PCAOB entered into a Memorandum of Understanding on Enforcement Cooperation with the CSRC and the PRC Ministry of Finance, which established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 Finance to permit joint inspections of the PCAOB-registered audit firms that audit Chinese companies that trade on U.S. exchanges. However, in the PCAOB December 2021 Release, the PCAOB identified problems in implementing these agreements and a lack of cooperation. Accordingly, we can offer no assurance that we will be able to retain an auditor that would allow us to avoid a trading prohibition for our securities under the HFCA Act.</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June 2021, the United States Senate passed a bill that would amend the HFCA Act to accelerate the imposition of trading prohibitions once an issuer is identified from three years to two years, and a companion bill was introduced in the U.S. House of Representatives on December 14, 2021. If this bill amending the HFCA Act is approved by both houses of Congress and signed by the President, our securities could be subject to a trading prohibition following our filing of our annual report on Form 20-F for 2022, which will be due on May 1, 2023.</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4, 2022, the U.S. House of Representatives passed the America Competes Act of 2022 which includes the exact same amendments as the bill passed by the Senate. The America Competes Act however includes a broader range of legislation not related to the HFCA Act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differences in the U.S. Innovation and Competition Act and the America Competes Act of 2022 bills currently passed, or when the U.S. President will sign on the bill to make the amendment into law, or at all. 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we are designated as “Commission Identified Issuers” on the list published by the SEC, or if our ADSs are subject to a trading prohibition under the HFCA Act, the price of our ADSs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our ADSs when you wish to do so. Furthermore, if we are able to maintain a listing or our ordinary shares on the Stock Exchange of Hong Kong or another non-U.S. exchange, investors owning our ADSs may have to take additional steps to engage in transactions on that exchange, including converting ADSs into ordinary shares and establishing non-U.S. brokerage accounts. In March 2022, the SEC issued its first “Conclusive list of issuers identified under the HFCAA” indicating that those companies are now formally subject to the delisting provisions if they remain on the list for three consecutive years. We were provisionally identified by the SEC on May 4, 2022 under the HFCA Act and were conclusively identified on May 25, 2022. See </w:t>
      </w:r>
      <w:r>
        <w:rPr>
          <w:rFonts w:ascii="Times New Roman" w:cs="Times New Roman" w:eastAsia="Times New Roman" w:hAnsi="Times New Roman"/>
          <w:sz w:val="18"/>
          <w:szCs w:val="18"/>
          <w:u w:val="single" w:color="auto"/>
          <w:color w:val="auto"/>
        </w:rPr>
        <w:t>https://www.sec.gov/hfcaa.</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HFCA Act also imposes additional certification and disclosure requirements for Commission Identified Issuers, and these requirements will apply beginning with annual reports on Form 20-F to be filed in 2023 for Commission Identified Issuers named in the prior year. Because our auditor was included in the list in the PCAOB December 2021 Release, we expect to have to comply with these disclosure requirements in our annual report on Form 20-F for 2022 to be filed in 2023.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issues under the HFCA discussed above, the PCAOB’s inability to conduct inspections in China and Hong Kong prevents it from fully evaluating the audits and quality control procedures of our independent registered public accounting firm. As a result, we and investors in our ADSs and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29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our directors or our management named in this prospectus based on foreign laws, and the ability of U.S. authorities to bring actions in China may also be limited.</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we conduct substantially all of our operations in China and substantially all of our assets are located in China. In addition, most of our directors and senior executive officers are nationals or residents in China. As a result, it may be difficult for you to effect service of process upon us or those persons in China. It may also be difficult for you to enforce in the U.S. courts or courts of many other jurisdictions judgments obtained in the U.S. courts or courts of many other jurisdictions based on the civil liability provisions of the U.S. federal securities laws or the comparable laws of many other jurisdictions against us and our directors and officers who reside and whose assets are located in China. There is also uncertainty as to whether the courts of the Cayman Islands or the PRC would recognize or enforce judgments of the U.S. courts or courts of many other jurisdictions against us or such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persons predicated upon the civil liability provisions of the securities laws of the U.S. or any state or comparable laws of many other jurisdictions.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China does not have any treaties or other forms of reciprocity with the U.S. and many other jurisdictions that provide for the reciprocal recognition and enforcement of judgments from the U.S. and many other jurisdictions.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U.S and many other jurisdictions. In addition, the SEC, the U.S. Department of Justice and other U.S. authorities and the comparable authorities from many other jurisdictions may also have difficulties in bringing and enforcing actions against us or our directors or officers in the PRC.</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Hong Kong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enforcing judgments in Hong Kong.</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BR Hong Kong Limited, one of our subsidiaries incorporate in Hong Kong, wholly owns Beijing Burning Rock Biotech Limited, our WFOE. You may have difficulties in enforcing court judgments obtained in United States courts against our Hong Kong subsidiary, including judgments relating to the federal securities laws of the United States. There is also doubt as to whether courts in Hong Kong will enforce judgments of United States courts based only upon the civil liability provisions of the federal securities laws of the United States, or the securities laws of any state of the United States.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be political risks associated with having business connection with Hong Kong.</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Hong Kong is a Special Administrative Region of the People’s Republic of China, with its own executive, judicial and legislative branches. Hong Kong enjoys a high degree of autonomy from China under the principle of “one country, two systems.” As a result of this political structure, we enjoy certain benefits, including tax benefits when we hold our WFOE through BR Hong Kong Limited, one of our subsidiaries incorporate in Hong Kong. However, we can give no assurance that Hong Kong will continue to enjoy the same level of autonomy from China. For example, if our Hong Kong subsidiary is deemed as a PRC company when the PRC government no longer treats Hong Kong as “offshore”, we may not be able to enjoy the double tax treaty reached between Hong Kong and mainland China and our Hong Kong company may be subject to the supervision of SAFE, which will lead uncertainty to cross-border capital flows. In particular, China could determine to treat any cash located in Hong Kong as subject to the same distribution rules as mainland China and our cash located in Hong Kong could therefore be subject to the same risks as that located in mainland China. Any intervention by the government of China in the affairs of Hong Kong, in breach of the “one country, two systems” principle, may adversely affect our business and ability to raise capital.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unrest in Hong Kong may affect our business.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Hong Kong is a special administrative region of the PRC with its own government. Hong Kong enjoys a high degree of autonomy from the PRC under the principle of “one country, two systems.” However, there can be no assurance that our corporate structure, business operation, financial condition and results of operations will not be adversely affected as a consequence of the exercise of PRC sovereignty over Hong Kong. For example, a series of large demonstrations in Hong Kong in 2019 has adversely affected the local economy and resulted in the enactment of Hong Kong national security law in 2020. On July 14, 2020, the President of U.S. signed an executive order to end the special status enjoyed by Hong Kong under the United States-Hong Kong Policy Act of 1992. Hong Kong’s position and reputation as an international financial and trade center may be further damaged, and our business may be materially and adversely affected.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 We will not receive proceeds from sales of securities by persons other than us except as may otherwise be stated in any applicable prospectus supplement.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and our affairs are governed by our memorandum and articles of association and the Companies Act (As Revised) of the Cayman Islands, which we refer to as the Companies Act below, and the common law of the Cayman Islands.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250,000,000 shares, comprising 230,000,000 Class A ordinary shares and 20,000,000 Class B ordinary shares, par value of US$0.0002 each. As of the date of this prospectus, we have 105,188,102 ordinary shares that are issued and outstanding, comprising 87,863,254 Class A ordinary shares (excluding 541,097 Class A ordinary shares issued to our depositary bank for bulk issuance of ADSs reserved for future issuances upon the exercise or vesting of awards granted under our share incentive plans) and 17,324,848 Class B ordinary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Amended and Restated Memorandum and Articles of Association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are summaries of material provisions of our tenth amended and restated memorandum and articles of association, as currently in effect (incorporated by reference to Exhibit 3.2 to the registration statement on Form F-1 (File No. 333-238596), as amended, initially filed with the SEC on May 22, 2020), insofar as they relate to the material terms of our ordinary shares. You should read the forms of our current memorandum and articles of association filed with the SEC. For information on how to obtain copies of our current memorandum and articles of association, see “Where You Can Find More Information About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will have the same rights except for voting and conversion rights. All of our outstanding ordinary shares are fully paid and non-assessable. Certificates representing the ordinary shares are issued in registered form. Our shareholders who are non-residents of the Cayman Islands may freely hold and transfer their ordinary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Class B ordinary share is convertible into one (1) Class A ordinary share at any time by the holder thereof. Class A ordinary shares are not convertible into Class B ordinary shares under any circumstances. Upon any sale, transfer, assignment or disposition of any Class B ordinary share by a holder thereof to any person who is not an affiliate of such holder, or upon a change of control of any Class B ordinary share to any person who is not an affiliate of the registered shareholder of such Class B ordinary share, such Class B ordinary share shall be automatically and immediately converted into one Class A ordinary share. Furthermore, each Class B ordinary share will be automatically converted into one Class A ordinary share, if (i) at any time the holder thereof and the affiliates of such holder collectively hold less than 5% of the total number of our issued and outstanding shares, or (ii) at any time the holder thereof and the affiliates of such holder collectively hold less than 8.5% of the total number of our issued and outstanding shares and the holder thereof is no longer providing services to us in a position equivalent to or above vice president.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Our current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Holders of ordinary shares and Class B ordinary shares will be entitled to the same amount of dividends, if declared.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matters submitted to a vote by the members. Each Class A ordinary share shall be entitled to one vote on all matters subject to vote at general and special meetings of our company and each Class B ordinary share shall be entitled to six (6) votes on all matters subject to vote at general and special meetings of our company.</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Voting at any meeting of shareholders is by show of hands unless a poll is demanded. A poll may be demanded by the chairman of such meeting or any one or more shareholders who together hold not less than 10% of the nominal value of the total issued voting shares of our company present in person or by proxy.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making changes to our current memorandum and articles of association.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Subject to the restrictions contained in our current articles of association, any of our shareholders may transfer all or any of his or her ordinary shares by an instrument of transfer in the usual or common form or any other form approved by our board of directors.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Market may determine to be payable or such lesser sum as our directors may from time to time require is paid to us in respect thereof.</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Global Market, be suspended and the register of members closed at such times and for such periods as our board of directors may from time to time determine, provided, however, that the registration of transfers shall not be suspended nor the register of members closed for more than 30 days in any year as our board may determine.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ordinary shares), assets available for distribution among the holders of ordinary shares shall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Calls on Ordinary Shares and Forfeiture of Ordinary Shares.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Ordinary Shares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Companies Act and our current articles of association permit us to purchase our own shares. In accordance with our current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or any of the special rights attached to any class of shares may, subject to the provisions of the Companies Act, be materially adversely varied with the written consent of the holders of all of the issued shares of that class or with the sanction of an ordinary resolution passed at a general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 The rights of the holders of any shares shall not be deemed to be materially adversely varied by the creation or issue of shares with preferred or other rights including, without limitation, the creation of shares with enhanced or weighted voting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Shareholders’ meetings may be convened by a majority of our board of directors or our chairman. Advance notice of at least seven (7) calendar days is required for the convening of our annual general shareholders’ meeting and any other general meeting of our shareholders. A quorum required for and throughout a meeting of shareholders consists of at least one shareholder entitled to vote and present in person or by proxy or (in the case of a shareholder being a corporation) by its duly authorized representative representing not less than one-third of all voting power of our share capital in issue.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(other than copies of our memorandum and articles of association and register of mortgages and charges, and any special resolutions passed by our shareholders). Under Cayman Islands law, the names of our current directors can be obtained from a search conducted at the Registrar of Companies. However, we will in our articles provide our shareholders with the right to inspect our list of shareholders and to receive annual audited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Capital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shall prescribe;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or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permitted by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Registered Office and Objects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consists of nine directors. A director is not required to hold any shares in our company by way of qualification. A director may vote with respect to any contract, proposed contract or arrangement in which he is materially interested, provided that (a) such director, if his or her interest in such contract or arrangement is material, has declared the nature of his or her interest at the earliest meeting of the board at which it is practicable for him or her to do so, either specifically or by way of a general notice and (b) if such contract or arrangement is a transaction with a related party, such transaction has been approved by the audit committee. The directors may exercise all the powers of our company to borrow money, mortgage its undertaking, property and uncalled capital, and issue debentures or other securities whenever money is borrowed or as security for any obligation of the company or of any third party.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Companies Act. 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may be prepared to pierce or lift the corporate veil). We are subject to reporting and other informational requirements of the Exchange Act, as applicable to foreign private issuers. The NASDAQ Global Market rules require that every company listed on the NASDAQ Global Market hold an annual general meeting of shareholders. In addition, our current articles of association allow directors to call special meeting of shareholders pursuant to the procedures set forth in our articles.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121"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State of Delaware.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Dissenting shareholders have the right to be paid the fair value of their shares (which, if not agreed between the parties, will be determined by the Cayman Islands court) if they follow the required procedures, subject to certain exceptions.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Court approval is not required for a merger or consolidation which is effected in compliance with these statutory procedures.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3"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takeover offer. When a takeover offer is made and accepted by holders of 90% of the shares within four months, the offer 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or if a takeover offer is made and accepted,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11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current memorandum and articles of association.</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Anti-Takeover Provisions in the Memorandum and Articles of Association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provisions of our current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 memorandum and articles of association, as amended and restated from time to time, for what they believe in good faith to be in the best interests of our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Our current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exempted Cayman Islands company, we are not obliged by law to call shareholders’ annual general meetings.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current memorandum and articles of association do not provide for cumulative voting. As a result, our shareholders are not afforded any less protections or rights on this issue than shareholders of a Delaware corporation.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memorandum and articles of association, directors may be removed by an ordinary resolution of shareholders.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 the Companies Act and our current memorandum and articles of association, our company may be dissolved, liquidated or wound up with the sanction of a special resolution at a meeting.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otherwise. Under our current memorandum and articles of association, if our share capital is divided into more than one class of shares, we may vary the rights attached to any class only with the sanction of an ordinary resolution passed at a general meeting of the holders of the shares of that class or the written consent the holders of all of the issued shares of that class.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Cayman Islands law, our current articles of association may only be amended by a special resolution of shareholders.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current memorandum and articles of association on the 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Power to Issue Shares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Citibank, N.A. acts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9/F, Citi Tower, One Bay East, 83 Hon Hai Road, Kwun Tong, Kowloon, Hong Kong.</w:t>
      </w:r>
    </w:p>
    <w:p>
      <w:pPr>
        <w:spacing w:after="0" w:line="183"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We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333-238921 when retrieving such copy.</w:t>
      </w:r>
    </w:p>
    <w:p>
      <w:pPr>
        <w:spacing w:after="0" w:line="15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Class A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an owner of ADSs, you are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You being an owner of ADSs, we will not treat you as one of our shareholders and you will not have direct shareholder rights. The depositary will hold on your behalf the shareholder rights attached to the underlying Class A ordinary shares represented by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A ordinary shares for the securities on deposit with the custodian, we will deposit the applicable number of Class A ordinary shares with the custodian. Upon receipt of confirmation of such deposit, the depositary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A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74"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not distribute the rights to you if:</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6" w:lineRule="exact"/>
        <w:rPr>
          <w:sz w:val="20"/>
          <w:szCs w:val="20"/>
          <w:color w:val="auto"/>
        </w:rPr>
      </w:pPr>
    </w:p>
    <w:p>
      <w:pPr>
        <w:jc w:val="both"/>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pay such taxes and governmental charges, the depositary may sell all or a portion of the property received.</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33"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Affecting Class A ordinary shares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Class A ordinary shares held on deposit for your ADSs may change from time to time. For example, there may be a change in nominal or par value, split-up, cancellation, consolidation or any other reclassification of such Class A ordinary shares or a recapitalization, reorganization, merger, consolidation or sale of assets of the Company.</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ADSs upon Deposit of Class A ordinary shares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the Cayman Islands legal considerations applicable at the time of deposit.</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A ordinary shares, you will be responsible for transferring good and valid title to the depositary. As such, you will be deemed to represent and warrant that:</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duly authorized, validly issued, fully paid, non-assessable and legally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A ordinary shares have been validly waived or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A ordinary shares.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have not been stripped of any rights or entitlements.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Class A ordinary shares Upon Cancellation of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Class A ordinary shares at the custodian’s offices. Your ability to withdraw the Class A ordinary shares held in respect of the ADSs may be limited by U.S. and Cayman Islands law considerations applicable at the time of withdrawal. In order to withdraw the Class A ordinary shares represented by your ADSs, you will be required to pay to the depositary the fees for cancellation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“Description of Share Capital”.</w:t>
      </w:r>
    </w:p>
    <w:p>
      <w:pPr>
        <w:spacing w:after="0" w:line="140"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represented by the holder’s ADSs as follows:</w:t>
      </w:r>
    </w:p>
    <w:p>
      <w:pPr>
        <w:spacing w:after="0" w:line="110" w:lineRule="exact"/>
        <w:rPr>
          <w:sz w:val="20"/>
          <w:szCs w:val="20"/>
          <w:color w:val="auto"/>
        </w:rPr>
      </w:pPr>
    </w:p>
    <w:p>
      <w:pPr>
        <w:jc w:val="both"/>
        <w:ind w:left="1080" w:hanging="424"/>
        <w:spacing w:after="0" w:line="28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will vote (or cause the custodian to vote) all Class A ordinary shares held on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that time in accordance with the voting instructions received from a majority of holders of ADSs who provide timely voting instructions.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500" w:hanging="424"/>
        <w:spacing w:after="0" w:line="284"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will vote (or cause the Custodian to vote) the Class A ordinary shares held on deposit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voting instructions timely received from the holders of ADSs.</w:t>
      </w:r>
    </w:p>
    <w:p>
      <w:pPr>
        <w:spacing w:after="0" w:line="16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common shares represented by such holders’ ADSs; provided, however, that no such discretionary proxy shall be given with respect to any matter to be voted upon as to which we inform the depositary that</w:t>
      </w:r>
    </w:p>
    <w:p>
      <w:pPr>
        <w:spacing w:after="0" w:line="3" w:lineRule="exact"/>
        <w:rPr>
          <w:sz w:val="20"/>
          <w:szCs w:val="20"/>
          <w:color w:val="auto"/>
        </w:rPr>
      </w:pPr>
    </w:p>
    <w:p>
      <w:pPr>
        <w:ind w:left="340" w:hanging="224"/>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wish such proxy to be given, (ii) substantial opposition exists, or (iii) the rights of holders of ordinary shares may be adversely affected,</w:t>
      </w:r>
    </w:p>
    <w:p>
      <w:pPr>
        <w:spacing w:after="0" w:line="9" w:lineRule="exact"/>
        <w:rPr>
          <w:rFonts w:ascii="Times New Roman" w:cs="Times New Roman" w:eastAsia="Times New Roman" w:hAnsi="Times New Roman"/>
          <w:sz w:val="18"/>
          <w:szCs w:val="18"/>
          <w:color w:val="auto"/>
        </w:rPr>
      </w:pPr>
    </w:p>
    <w:p>
      <w:pPr>
        <w:jc w:val="both"/>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Service</w:t>
            </w:r>
          </w:p>
        </w:tc>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Fees</w:t>
            </w:r>
          </w:p>
        </w:tc>
      </w:tr>
      <w:tr>
        <w:trPr>
          <w:trHeight w:val="28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 Issuance of ADSs (e.g., an issuance of ADS upon a deposit of Class A</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issued</w:t>
            </w: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upon a change in the ADS(s)-to-Shares ratio, or for any</w:t>
            </w:r>
          </w:p>
        </w:tc>
        <w:tc>
          <w:tcPr>
            <w:tcW w:w="44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reason), excluding ADS issuances as a result of distributions of</w:t>
            </w:r>
          </w:p>
        </w:tc>
        <w:tc>
          <w:tcPr>
            <w:tcW w:w="44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ordinary shares</w:t>
            </w:r>
          </w:p>
        </w:tc>
        <w:tc>
          <w:tcPr>
            <w:tcW w:w="446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cancelled</w:t>
            </w: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property, upon a change in the ADS(s)-to-Shares ratio, or for</w:t>
            </w:r>
          </w:p>
        </w:tc>
        <w:tc>
          <w:tcPr>
            <w:tcW w:w="44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other reason)</w:t>
            </w:r>
          </w:p>
        </w:tc>
        <w:tc>
          <w:tcPr>
            <w:tcW w:w="446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446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446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446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 ADS Services</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Up to U.S. 5¢ per ADS held on the applicable record date(s)</w:t>
            </w:r>
          </w:p>
        </w:tc>
      </w:tr>
      <w:tr>
        <w:trPr>
          <w:trHeight w:val="234"/>
        </w:trPr>
        <w:tc>
          <w:tcPr>
            <w:tcW w:w="2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established by the depositary</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 Registration of ADS transfers (e.g., upon a registration of the transfer of</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(or fraction thereof) transferred</w:t>
            </w:r>
          </w:p>
        </w:tc>
      </w:tr>
      <w:tr>
        <w:trPr>
          <w:trHeight w:val="214"/>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 and</w:t>
            </w:r>
          </w:p>
        </w:tc>
        <w:tc>
          <w:tcPr>
            <w:tcW w:w="446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446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 (e.g., upon</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 5¢ per ADS (or fraction thereof) converted</w:t>
            </w:r>
          </w:p>
        </w:tc>
      </w:tr>
      <w:tr>
        <w:trPr>
          <w:trHeight w:val="216"/>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Partial Entitlement ADSs for Full Entitlement ADSs, or</w:t>
            </w:r>
          </w:p>
        </w:tc>
        <w:tc>
          <w:tcPr>
            <w:tcW w:w="4460" w:type="dxa"/>
            <w:vAlign w:val="bottom"/>
          </w:tcPr>
          <w:p>
            <w:pPr>
              <w:spacing w:after="0"/>
              <w:rPr>
                <w:sz w:val="18"/>
                <w:szCs w:val="18"/>
                <w:color w:val="auto"/>
              </w:rPr>
            </w:pPr>
          </w:p>
        </w:tc>
      </w:tr>
      <w:tr>
        <w:trPr>
          <w:trHeight w:val="214"/>
        </w:trPr>
        <w:tc>
          <w:tcPr>
            <w:tcW w:w="2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upon conversion of Restricted ADSs (each as defined in the Deposit</w:t>
            </w:r>
          </w:p>
        </w:tc>
        <w:tc>
          <w:tcPr>
            <w:tcW w:w="446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4460" w:type="dxa"/>
            <w:vAlign w:val="bottom"/>
          </w:tcPr>
          <w:p>
            <w:pPr>
              <w:spacing w:after="0"/>
              <w:rPr>
                <w:sz w:val="20"/>
                <w:szCs w:val="20"/>
                <w:color w:val="auto"/>
              </w:rPr>
            </w:pPr>
          </w:p>
        </w:tc>
      </w:tr>
      <w:tr>
        <w:trPr>
          <w:trHeight w:val="364"/>
        </w:trPr>
        <w:tc>
          <w:tcPr>
            <w:tcW w:w="260" w:type="dxa"/>
            <w:vAlign w:val="bottom"/>
          </w:tcPr>
          <w:p>
            <w:pPr>
              <w:spacing w:after="0"/>
              <w:rPr>
                <w:sz w:val="24"/>
                <w:szCs w:val="24"/>
                <w:color w:val="auto"/>
              </w:rPr>
            </w:pPr>
          </w:p>
        </w:tc>
        <w:tc>
          <w:tcPr>
            <w:tcW w:w="54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45</w:t>
            </w:r>
          </w:p>
        </w:tc>
        <w:tc>
          <w:tcPr>
            <w:tcW w:w="44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2" w:lineRule="exact"/>
        <w:rPr>
          <w:sz w:val="20"/>
          <w:szCs w:val="20"/>
          <w:color w:val="auto"/>
        </w:rPr>
      </w:pPr>
    </w:p>
    <w:p>
      <w:pPr>
        <w:jc w:val="both"/>
        <w:ind w:left="120" w:right="140" w:hanging="4"/>
        <w:spacing w:after="0" w:line="255"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translation of such a document, for the investment risks associated with investing in Class A ordinary shares, for the validity or worth of the Class A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85"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81" w:lineRule="exact"/>
        <w:rPr>
          <w:rFonts w:ascii="Times New Roman" w:cs="Times New Roman" w:eastAsia="Times New Roman" w:hAnsi="Times New Roman"/>
          <w:sz w:val="18"/>
          <w:szCs w:val="18"/>
          <w:color w:val="auto"/>
        </w:rPr>
      </w:pPr>
    </w:p>
    <w:p>
      <w:pPr>
        <w:jc w:val="both"/>
        <w:ind w:left="1080" w:right="220" w:hanging="424"/>
        <w:spacing w:after="0" w:line="31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the depositary also disclaim liability for the inability by a holder to benefit from any distribution, offering, right or other benefit that is made available to holders of Class A ordinary shares but is not, under the terms of the deposit agreement, made available to you.</w:t>
      </w:r>
    </w:p>
    <w:p>
      <w:pPr>
        <w:spacing w:after="0" w:line="45" w:lineRule="exact"/>
        <w:rPr>
          <w:rFonts w:ascii="Times New Roman" w:cs="Times New Roman" w:eastAsia="Times New Roman" w:hAnsi="Times New Roman"/>
          <w:sz w:val="17"/>
          <w:szCs w:val="17"/>
          <w:color w:val="auto"/>
        </w:rPr>
      </w:pPr>
    </w:p>
    <w:p>
      <w:pPr>
        <w:ind w:left="1080" w:right="3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or Exchange Act liability is intended by any provision of the deposit agreement.</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cancellation of the ADSs and the withdrawal of the Class A ordinary shares, and such limitations would most likely not apply to ADS holders who withdraw the Class A ordinary shares from the ADS facility with respect to obligations or liabilities incurred after the cancellation of the ADSs and the withdrawal of the Class A ordinary shares and not under the deposit agreement.</w:t>
      </w:r>
    </w:p>
    <w:p>
      <w:pPr>
        <w:spacing w:after="0" w:line="182"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7" w:lineRule="exact"/>
        <w:rPr>
          <w:sz w:val="20"/>
          <w:szCs w:val="20"/>
          <w:color w:val="auto"/>
        </w:rPr>
      </w:pPr>
    </w:p>
    <w:p>
      <w:pPr>
        <w:ind w:left="1080" w:right="1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7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certain general terms and provisions of the debt securities and the indenture, but they are not complete and are subject to, and are qualified in their entirety by reference to, all of the provisions of the indenture, which has been filed as an exhibit to the registration statement of which this prospectus is a part, including the definitions of specified terms used in the indenture, and to the Trust Indenture Act of 1939, as amended, or the “Trust Indenture Act.” The particular terms of the debt securities offered by any prospectus supplement and the extent these general provisions may apply to the debt securities will be described in the applicable prospectus supplement. The terms of the debt securities will include those set forth in the indenture, any related documents and those made a part of the indenture by the Trust Indenture Act. You should read the summary below, the applicable prospectus supplement and the provisions of the indenture and any related documents before investing in our debt securities.</w:t>
      </w:r>
    </w:p>
    <w:p>
      <w:pPr>
        <w:spacing w:after="0" w:line="18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we may offer will contain the specific terms of the debt securities. These terms may include the following:</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or unsecured;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convertible into or exchangeable for cash and/or any securities or other property of any person (including us), the terms and conditions upon which such debt securities will be so convertible or exchangeable;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 and, if subordinated,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or percentages of principal amount at which such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the interest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the determination of holders to whom interest is payable or the method for determining such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debt securities may be issued, the maturity date and other dates of payment of principal;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 if other than denominations of US$2,000 and multiples of US$1,000 in excess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in whole or in part in the form of one or more global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depository for global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defeasance of the particular debt securities being issued in whole or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change in the provisions related to satisfaction and discharge;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currencies or currency units in which the purchase price for, the principal of and any premium and any interest on, such debt securities will be payable;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the purchaser of the debt securities can select the payment currency;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or automated quotation system(s) on which the securities will be listed or admitted to trading, as applicable, if any;</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or places where we may pay principal, premium, if any, and interest and where holders may present the debt securities for registration of transfer, exchange or conversion;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or places where notices and demands relating to the debt securities and the indentures may be made;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of the debt securities, the portion of the principal amount of the debt securities that is payable upon declaration of acceleration of maturity;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index or formula used to determine the amount of payments of principal of, premium (if any) or interest on the debt securities and the method of determining these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compensation, reimbursement and indemnification of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indenture, except as permitted by the terms of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may sell the debt securities, including original issue discount securities, at par or at greater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discount below their stated principal amount. Unless we inform you otherwise in a prospectus supplement, the purchase price for, the principal of and any premium and any interest on such debt securities will be payable in U.S. dollars. Unless we inform you otherwise in a prospectus supplement, we may issue additional debt securities of a particular series without the consent of the holders of the debt securities of such series outstanding at the time of issuance. Any such additional debt securities, together with all other outstanding debt securities of that series, will constitute a single series of debt securities under the indenture. Such additional debt securities will have the same terms and conditions as the applicable series of debt securities in all respects (or in all respects except for the issue date, the issue price or the first payment of interest), and will vote together as one class on all matters with respect to such series of debt securities. We shall not issue any additional debt securities of a series unless such additional debt securities are fungible with the outstanding debt securities of such series for U.S. federal income tax purposes. Unless we inform you otherwise in the applicable prospectus supplement, the debt securities will not be listed on any securities exchange.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issued in fully registered form without interest coupons and, unless otherwise indicated in the applicable prospectus supplement, in minimum denominations of US$2,000 and integral multiples of US$1,000 in excess thereof.</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entity performing the role of maintaining the list of registered holders is called the “registrar.” The registrar acts as our agent for registering debt securities in the names of holders and transferring registered debt securities. You may exchange or transfer your registered debt securities at the specified office of the registrar. We may also arrange for additional registrars, and may change registrars. We may also choose to act as our own registrar.</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will not be required to pay a service charge for any registration of transfer or exchange of debt securities, but you may be required to pay any tax or other governmental charge associated with the registration of transfer or exchange. The registration of transfer or exchange of a registered debt security will only be made if you have duly endorsed the debt security or provided the registrar with a written instrument of transfer satisfactory in form to the registrar.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your debt securities are in definitive registered form, we will pay interest to you if you are listed in the registrar’s records as a direct holder at the close of business on a particular day in advance of each due date for interest, even if you no longer own the debt securities on the interest due date. That particular day is called the “record date” and will be stated in the applicable prospectus supplement.</w:t>
      </w:r>
    </w:p>
    <w:p>
      <w:pPr>
        <w:spacing w:after="0" w:line="176"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We will pay interest, principal, Additional Amounts (as defined below) and any other money due on global registered debt securities pursuant to the applicable procedures of the depository or, if the debt securities are not in global form, at offices maintained for that purpose in New York, New York. These offices are called “paying agents.” We may also choose to pay interest by mailing checks. We may also arrange for additional payment agents, and may change these agents, including our use of the trustee’s corporate trust office. We may also choose to act as our own paying agent.</w:t>
      </w:r>
    </w:p>
    <w:p>
      <w:pPr>
        <w:spacing w:after="0" w:line="16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Regardless of who acts as paying agent, all money that we pay as principal, premium or interest to a paying agent, or then held by us in trust, that remains unclaimed at the end of two years after the amount is due to direct holders will be repaid to us, or if then held by us, discharged from trust. After that two-year period, direct holders may look only to us for payment and not to the trustee, any other paying agent or anyone else.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Street name and other indirect holders should consult their banks or brokers for information on how they will receive payments.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Redemption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series of debt securities may be redeemed at any time, at our option, in whole but not in part, upon notice as described below, at a redemption price equal to 100% of the principal amount thereof, plus accrued and unpaid interest, if any, to, but not including, the date fixed for redemption, if (i) as a result of any change in, or amendment to, the laws or regulations of a Relevant Jurisdiction (as defined below) (or, in the case of Additional Amounts payable by a successor Person to us, the applicable Successor Jurisdiction (as defined below)), or any change in the official application or official interpretation of such laws or regulations, which change or amendment becomes effective on or after the issue date of the applicable series of debt securities (or, in the case of Additional Amounts payable by a successor Person to us, the date on which such successor Person to us became such pursuant to the indenture) (a “Tax Change”), we or any such successor Person to us is, or would be, obligated to pay Additional Amounts upon the next payment of principal, premium (if any) or interest in respect of such debt securities and (ii) such obligation cannot be avoided by us or any such successor Person to us taking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reasonable measures available to it, provided that changing our or such successor Person’s jurisdiction of organization or tax residency is not a reasonable measure for purposes of this section.</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the giving of any notice of redemption of debt securities pursuant to the foregoing, we or any such successor Person to us shall deliver to the trustee (i) a notice of such redemption election, (ii) an opinion of an legal counsel or an opinion of a tax consultant to the effect that we or any such successor Person to us is, or would become, obligated to pay such Additional Amounts as the result of a Tax Change and (iii) an officer’s certificate from us or any such successor Person to us, stating that such amendment or change has occurred, describing the facts leading thereto and stating that such requirement cannot be avoided by us or any such successor Person to us taking reasonable measures available to it.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Notice of such a redemption of debt securities shall be given to the holders of the debt securities not less than 30 days nor more than 60 days prior to the date fixed for redemption. Notice having been given, the debt securities of that series shall become due and payable on the date fixed for redemption and will be paid at the redemption price, together with accrued and unpaid interest, if any, to, but not including, the date fixed for redemption, at the place or places of payment and in the manner specified in that series of debt securities or the indenture. From and after the redemption date, if moneys for the redemption of such debt securities shall have been made available as provided in the indenture for redemption on the redemption date, the debt securities of such series shall cease to bear interest, and the only right of the holders of such debt securities shall be to receive payment of the redemption price and accrued and unpaid interest, if any, to, but not including, the date fixed for redemption.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payments of principal, premium, if any, and interest made by us in respect of the debt securities of each series will be made without withholding or deduction for, or on account of, any present or future taxes, duties, assessments or governmental charges of whatever nature (collectively, “Taxes”) imposed or levied by or within the Cayman Islands or the PRC (in each case, including any political subdivision or any authority therein or thereof having power to tax) (each, a “Relevant Jurisdiction”), unless such withholding or deduction of such Taxes is required by law. If we are required to make such withholding or deduction, we will pay such additional amounts (“Additional Amounts”) as will result in receipt by each holder of any debt securities of such amounts as would have been received by such holder had no such withholding or deduction of such Taxes been required, except that no such Additional Amounts shall be payable:</w:t>
      </w:r>
    </w:p>
    <w:p>
      <w:pPr>
        <w:spacing w:after="0" w:line="94" w:lineRule="exact"/>
        <w:rPr>
          <w:sz w:val="20"/>
          <w:szCs w:val="20"/>
          <w:color w:val="auto"/>
        </w:rPr>
      </w:pPr>
    </w:p>
    <w:p>
      <w:pPr>
        <w:ind w:left="1080" w:right="160" w:hanging="532"/>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such Taxes that would not have been imposed, deducted or withheld but for the existence of any connection (whether present or former) between the holder or beneficial owner of a debt security and the Relevant Jurisdiction other than merely holding such debt security or receiving principal, premium (if any) or interest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88"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debt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“relevant date” in relation to any debt security means the later of (a) the due date for such payment or (b) the date such payment was made or duly provided for;</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Taxes that would not have been imposed, deducted or withheld but for a failure of the holder or beneficial owner of a debt security to comply with a timely request by us addressed to the holder or beneficial owner to provide information concerning such holder’s or beneficial owner’s nationality, residence, identity or connection with any Relevant Jurisdiction, if and to the extent that due and timely compliance with such request is required under the tax laws of such jurisdiction in order to reduce or eliminate any withholding or deduction as to which Additional Amounts would have otherwise been payable to such holder;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Taxes imposed as a result of a debt security being presented for payment (where presentation is required) in the Relevant Jurisdiction, unless such debt security could not have been presented for payment elsewhere;</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estate, inheritance, gift, sale, use, value added, excise, transfer, personal property, wealth, interest equalization or similar Taxes (other than any value added Taxes imposed by the PRC or any political subdivision thereof if we were to be deemed a PRC tax resident);</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 debt security that is a fiduciary, partnership or person other than the sole beneficial owner of any payment to the extent that such payment would be required by the laws of the Relevant Jurisdiction to be included in the income,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85"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or deduction that is imposed in connection with Sections 1471-1474 of the U.S. Internal Revenue Code and U.S. Treasury regulations thereunder (“FATCA”), any intergovernmental agreement between the United States and any other jurisdiction implementing or relating to FATCA or any non-U.S. law, regulation or guidance enacted or issued with respect thereto;</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such Taxes payable otherwise than by deduction or withholding from payments under or with respect to any debt security;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combination of Taxes referred to in the preceding items (i) through (viii) above.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any withholding or deduction for or on account of any Taxes is required and Additional Amounts are payable with respect thereto, at least 30 days prior to each date of payment of principal of, premium (if any) or interest on the debt securities of any series, we will furnish to the trustee and the paying agent, if other than the trustee, an officer’s certificate specifying the amount required to be withheld or deducted on such payments to such holders, certifying that we shall pay such amounts required to be withheld to the appropriate governmental authority and certifying to the fact that the Additional Amounts will be payable and the amounts so payable to each holder, and that we will pay to the trustee or such paying agent the Additional Amounts required to be paid; provided that no such officer’s certificate will be required prior to any date of payment of principal of, premium (if any) or interest on such debt securities if there has been no change with respect to the matters set forth in a prior officer’s certificate. The trustee and each paying agent may rely on the fact that any officer’s certificate contemplated by this paragraph has not been furnished as evidence of the fact that no withholding or deduction for or on account of any Taxes is required. We covenant to indemnify the trustee and any paying agent for and to hold them harmless against any loss or liability incurred without fraud, gross negligence or willful misconduct on their part arising out of or in connection with actions taken or omitted by any of them in reliance on any such officer’s certificate furnished pursuant to this paragraph or on the fact that any officer’s certificate contemplated by this paragraph has not been furnished.</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there is mentioned, in any context, the payment of principal, premium or interest in respect of any debt security, such mention shall be deemed to include the payment of Additional Amounts provided for in the indenture, to the extent that, in such context, Additional Amounts are, were or would be payable in respect thereof pursuant to the indenture.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foregoing provisions shall apply in the same manner with respect to the jurisdiction in which any successor Person to us is organized or resident for tax purposes or any authority therein or thereof having the power to tax (a “Successor Jurisdiction”), substituting such Successor Jurisdiction for the Relevant Jurisdiction.</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obligation to make payments of Additional Amounts under the terms and conditions described above will survive any termination, defeasance or discharge of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into any other Person in a transaction in which we are not the surviving entity, or convey, transfer or lease our properties and assets substantially as an entirety to, any Person unless:</w:t>
      </w:r>
    </w:p>
    <w:p>
      <w:pPr>
        <w:spacing w:after="0" w:line="67" w:lineRule="exact"/>
        <w:rPr>
          <w:sz w:val="20"/>
          <w:szCs w:val="20"/>
          <w:color w:val="auto"/>
        </w:rPr>
      </w:pPr>
    </w:p>
    <w:p>
      <w:pPr>
        <w:ind w:left="1080" w:hanging="532"/>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formed by such consolidation or into or with which we are merged or to whom we have conveyed, transferred or leased our properties and assets substantially as an entirety is a corporation, partnership, trust or other entity validly existing under the laws of the British Virgin Islands, the Cayman Islands, the PRC or Hong Kong and such Person expressly assumes by an indenture supplemental to the indenture all of our obligations under the indenture and the debt securities issued under the indenture, including the obligation to pay Additional Amounts with respect to any jurisdiction in which it is organized or resident for tax purposes;</w:t>
      </w:r>
    </w:p>
    <w:p>
      <w:pPr>
        <w:spacing w:after="0" w:line="88"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jc w:val="both"/>
        <w:ind w:left="1080" w:right="54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legal counsel, each stating that such consolidation, merger, conveyance, transfer or lease and such supplemental indenture complies with the indenture and that all conditions precedent therein provided for relating to such transaction have been complied with.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Open Market Purchases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or any of our Controlled Entities may, in accordance with all applicable laws and regulations, at any time purchase the debt securities issued under the indenture in the open market or otherwise at any price, so long as such purchase does not otherwise violate the terms of the indenture. The debt securities so purchased, while held by or on behalf of us or any of our Controlled Entities, shall not be deemed to be outstanding for the purposes of determining whether the holders of the requisite principal amount of outstanding debt securities have given any request, demand, authorization, direction, notice, consent or waiver hereunder.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indenture will contain provisions permitting us and the trustee, without the consent of the holders of a series of debt securities, to execute supplemental indentures for certain enumerated purposes in the indenture and, with the consent of the holders of not less than a majority in aggregate principal amount of the debt securities of such series then outstanding, to add, change, eliminate or modify in any way the provisions of the indenture or to change or modify in any manner the rights of the holders of the debt securities. The trustee and we may not, however, without the consent of each holder of such series of debt securities:</w:t>
      </w:r>
    </w:p>
    <w:p>
      <w:pPr>
        <w:spacing w:after="0" w:line="89"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or premium, if any, or any installment of interest of such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payments of interest on or stated time for payment of interest on such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of ours to pay Additional Amounts with respect to such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 of the principal of, premium (if any) or interest on such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due on or with respect to such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above stated percentage of outstanding debt securities of such series necessary to modify or amend the indenture;</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principal amount of outstanding debt securities of such series necessary for waiver of compliance with certain provisions of the indenture or for waiver of certain defaults;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of the indenture with respect to modification and waiver;</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or modify any provision of the indenture or the related definitions affecting the ranking of the debt securities in a manner which adversely affects the holders of such series of debt securities;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312" w:lineRule="auto"/>
        <w:tabs>
          <w:tab w:leader="none" w:pos="10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amount of the premium payable upon the redemption or repurchase any of such series of debt securities or change the time at which any of the debt securities of such series may be redeemed or repurchased as described above under the heading “Tax Redemption.”</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debt securities of a series may on behalf of all holders of the debt securities of such series waive any existing or past Default or Event of Default and its consequences under the indenture, except a continuing Default or Event of Default (i) in the payment of principal of, premium (if any) or interest on (or Additional Amount payable in respect of), the debt securities of such series then outstanding, in which event the consent of all holders of the debt securities of such series then outstanding affected thereby is required, or (ii) in respect of a covenant or provision which under the indenture cannot be modified or amended without the consent of each holder of the debt securities of such series then outstanding affected thereby. Any such waivers will be conclusive and binding on all holders of the debt securities of such series, whether or not they have given consent to such waivers, and on all future holders of debt securities of such series, whether or not notation of such waivers is made upon the debt securities of such series. Any instrument given by or on behalf of the debt securities of such series in connection with any consent to any such waiver will be irrevocable once given and will be conclusive and binding on all subsequent holders of the debt securities of such series.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of the debt securities of such series, the trustee and we may amend the indenture and the debt securities of such series to, among other things:</w:t>
      </w:r>
    </w:p>
    <w:p>
      <w:pPr>
        <w:spacing w:after="0" w:line="67" w:lineRule="exact"/>
        <w:rPr>
          <w:sz w:val="20"/>
          <w:szCs w:val="20"/>
          <w:color w:val="auto"/>
        </w:rPr>
      </w:pPr>
    </w:p>
    <w:p>
      <w:pPr>
        <w:ind w:left="1080" w:right="5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 contained in the indenture; provided, however, that such amendment does not materially and adversely affect the rights of holders of such series of debt securities;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succession of another corporation, partnership, trust or other entity to the Company in accordance with the terms described under “Consolidation, Merger and Sale of Assets,” or successive successions, and the assumption by such successor of the covenants and obligations of the Company contained in such series of debt securities and in the indenture;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of any applicable depository;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such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and agreements of the Company and to add Events of Default, in each case, for the protection or benefit of the holders of such series of debt securities, or to surrender any right or power herein conferred upon the Company;</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such series debt securities that does not adversely affect the legal rights under the indenture of any holder of the debt securities in any material respect;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an appointment under the indenture of a successor trustee; provided that the successor trustee is otherwise qualified and eligible to act as such under the terms thereof;</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any series of debt securities to any provision of this “Description of the Debt Securities” to the extent that such provision in this prospectus was intended to be a verbatim recitation of a provision of the indenture or debt securities as evidenced by an officer’s certificate;</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amendment to the provisions of the indenture relating to the transfer and legending of such series of debt securities as permitted by the indenture, including, but not limited to, facilitating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20"/>
        <w:spacing w:after="0" w:line="261" w:lineRule="auto"/>
        <w:rPr>
          <w:sz w:val="20"/>
          <w:szCs w:val="20"/>
          <w:color w:val="auto"/>
        </w:rPr>
      </w:pPr>
      <w:r>
        <w:rPr>
          <w:rFonts w:ascii="Times New Roman" w:cs="Times New Roman" w:eastAsia="Times New Roman" w:hAnsi="Times New Roman"/>
          <w:sz w:val="18"/>
          <w:szCs w:val="18"/>
          <w:color w:val="auto"/>
        </w:rPr>
        <w:t>issuance and administration of such series of debt securities or, if incurred in compliance with the indenture, additional debt securities; provided, however, that (A) compliance with the indenture as so amended would not result in such series of debt securities being transferred in violation of the Securities Act or any applicable securities law and (B) such amendment does not materially and adversely affect the rights of holders to transfer the debt securities of such series;</w:t>
      </w:r>
    </w:p>
    <w:p>
      <w:pPr>
        <w:spacing w:after="0" w:line="85"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amendment to the indenture necessary to qualify the indenture under the Trust Indenture Act;</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and to provide for the issuance of any additional debt securities permitted under the indenture, or add to the conditions, limitations or restrictions on the authorized amount, terms or purposes of issue, authentication or delivery of the debt securities of any series, as set forth in the indenture, or other conditions, limitations or restrictions thereafter to be observed;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guarantors or co-obligors with respect to the debt securities of such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to the “Description of Debt Securities” section in this prospectus.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consent of the holders of the debt securities of such series is not necessary under the indenture to approve the particular form of any proposed amendment, supplement or waiver. It is sufficient if such consent approves the substance of the proposed amendment or supplement. A consent to any amendment, supplement or waiver under the indenture by any holder given in connection with a tender of such holder’s debt securities of such series will not be rendered invalid by such tender. After an amendment, supplement or waiver under the indenture becomes effective, we are required to give to the holders of such series of debt securities a notice briefly describing such amendment, supplement or waiver. However, the failure to give such notice to all the holders, or any defect in the notice will not impair or affect the validity of the amendment, supplement or waiver.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for Consent</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will not, and will not permit any of our Controlled Entities to, directly or indirectly, pay or cause to be paid any consideration to or for the benefit of any holder of debt securities of any series for or as an inducement to any consent, waiver or amendment of any of the terms or provisions of the indenture or the debt securities of such series unless such consideration is offered to be paid and is paid to all holders of the relevant series of debt securities that consent, waive or agree to amend in the time frame set forth in the solicitation documents relating to such consent, waiver or amendment.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be defined as an “Event of Default” under the indenture with respect to the applicable series of debt securities:</w:t>
      </w:r>
    </w:p>
    <w:p>
      <w:pPr>
        <w:spacing w:after="0" w:line="131" w:lineRule="exact"/>
        <w:rPr>
          <w:sz w:val="20"/>
          <w:szCs w:val="20"/>
          <w:color w:val="auto"/>
        </w:rPr>
      </w:pPr>
    </w:p>
    <w:p>
      <w:pPr>
        <w:ind w:left="1080" w:right="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in respect of the debt securities when due and payable (whether at Stated Maturity or upon repurchase, acceleration, redemption or otherwise);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debt securities (including any additional interest) within 30 days after such interest becomes due and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our obligations under “Consolidation, Merger and Sale of Assets”;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any covenant or agreement in the indenture or under the debt securities (other than a default specified in clause (i), (ii) or (iii) above) and such default or breach continues for a period of 30 consecutive days after written notice by the trustee or the holders of 25% or more in aggregate principal amount of the debt securities;</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(i) a decree or order for relief in respect of us or any Principal Controlled Entity in an involuntary case or proceeding under any applicable bankruptcy,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25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other similar law or (ii) a decree or order adjudging us or any Principal Controlled Entity bankrupt or insolvent, or approving as final and non-appealable a petition seeking reorganization, arrangement, adjustment, or composition of or in respect of us or any Principal Controlled Entity under any applicable bankruptcy, insolvency or other similar law, or appointing a custodian, receiver, liquidator, assignee, trustee, sequestrator, or other similar official of us or any Principal Controlled Entity or of any substantial part of their respective property, or ordering the winding up or liquidation of their respective affairs (or any similar relief granted under any foreign laws), and in any such case the continuance of any such decree or order for relief or any such other decree or order unstayed and in effect for a period of 90 consecutive days;</w:t>
      </w:r>
    </w:p>
    <w:p>
      <w:pPr>
        <w:spacing w:after="0" w:line="94"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us or any Principal Controlled Entity of a voluntary case or proceeding under any applicable federal, state or foreign bankruptcy, insolvency or other similar law or of any other case or proceeding to be adjudicated bankrupt or insolvent, or the consent by us or any Principal Controlled Entity to the entry of a decree or order for relief in respect of us or any Principal Controlled Entity in an involuntary case or proceeding under any applicable bankruptcy, insolvency or other similar law or the commencement of any bankruptcy or insolvency case or proceeding against us or any Principal Controlled Entity, or the filing by us or any Principal Controlled Entity of a petition or answer or consent seeking reorganization or relief with respect to us or any Principal Controlled Entity under any applicable bankruptcy, insolvency or other similar law, or the consent by us or any Principal Controlled Entity to the filing of such petition or to the appointment of or taking possession by a custodian, receiver, liquidator, assignee, trustee, sequestrator, or other similar official of us or any Principal Controlled Entity or of any substantial part of their respective property pursuant to any such law, or the making by us or any Principal Controlled Entity of a general assignment for the benefit of creditors in respect of any indebtedness as a result of an inability to pay such indebtedness as it becomes due, or the admission by us or any Principal Controlled Entity in writing of our inability to pay our debts generally as they become due, or the taking of corporate action by us or any Principal Controlled Entity that resolves to commence any such action; and</w:t>
      </w:r>
    </w:p>
    <w:p>
      <w:pPr>
        <w:spacing w:after="0" w:line="92"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or the indenture is or becomes or is claimed by us to be unenforceable, invalid or ceases to be in full force and effect other than as permitted by the indenture.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However, a default under clause (iv) of the preceding paragraph will not constitute an Event of Default until the trustee or the holders of 25% in principal amount of the then outstanding debt securities of such series provide written notice to us of the default and we do not cure such default within the time specified in clause (iv) of the preceding paragraph after receipt of such written notice.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clauses (v) or (vi) above) shall occur and be continuing, either the trustee or the holders of at least 25% in aggregate principal amount of the debt securities of such series then outstanding by written notice may declare the unpaid principal amount of the debt securities of such series and any accrued and unpaid interest thereon (and any Additional Amount payable in respect thereof) to be due and payable immediately upon receipt of such notice. If an Event of Default described in clauses (v) or (vi) above shall occur, the unpaid principal amount of all the debt securities then outstanding and any accrued and unpaid interest thereon will automatically, and without any declaration or other action by the trustee or any holder of the debt securities, become immediately due and payable. After a declaration of acceleration but before a judgment or decree for payment of the money due has been obtained by the trustee, the holders of at least a majority in aggregate principal amount of the debt securities of such series then outstanding may, under certain circumstances, waive all past defaults and rescind and annul such acceleration if (1) rescission would not conflict with any judgment or decree of a court of competent jurisdiction and (2) all Events of Default, other than the non-payment of principal, premium, if any, or interest on the debt securities that became due solely because of the acceleration of the debt securities, have been cured or waived. For information as to waiver of defaults, see “—Modification and Waiver.”</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if an Event of Default shall occur and be continuing, the trustee will be under no obligation to exercise any of the trusts or powers vested in it by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indenture at the request, order or direction of any of the holders of debt securities, unless such holders shall have offered to the trustee pre-funding, security and/or indemnity satisfactory to it against the costs, expenses and liabilities which may be incurred therein or thereby. Subject to certain provisions, including those requiring pre-funding, security and/or indemnification of the trustee, the holders of a majority in aggregate principal amount of the debt securities of such series then outstanding will have the right to direct the time, method and place of conducting any proceeding for any remedy available to the trustee or exercising any trust or power conferred on the trustee. No holder of the debt securities will have any right to institute any proceeding, judicial or otherwise, with respect to the indenture or the debt securities, or for the appointment of a receiver or a trustee, or for any other remedy thereunder, unless (i) such holder has previously given to the trustee written notice of a continuing Event of Default with respect to the debt securities of such series, (ii) the holders of at least 25% in aggregate principal amount of the debt securities of such series then outstanding have made written request to the trustee to institute such proceeding, (iii) such holder or holders have offered pre-funding, security and/or indemnity satisfactory to the trustee and (iv) the trustee has failed to institute such proceeding, and has not received from the holders of a majority in aggregate principal amount of the debt securities of such series then outstanding a written direction inconsistent with such request, within 60 days after such notice, request and offer. However, such limitations do not apply to a suit instituted by a holder of a debt security for the enforcement of the right to receive payment of the principal of, premium (if any) or interest on the debt securities on or after the applicable due date specified in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be discharged and will cease to be of further effect with respect to debt securities of a series when:</w:t>
      </w:r>
    </w:p>
    <w:p>
      <w:pPr>
        <w:spacing w:after="0" w:line="131"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2080" w:right="260" w:hanging="533"/>
        <w:spacing w:after="0" w:line="266" w:lineRule="auto"/>
        <w:tabs>
          <w:tab w:leader="none" w:pos="20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that series that have been authenticated, except lost, stolen or destroyed debt securities that have been replaced or paid and notes for whose payment money has been deposited in trust and thereafter repaid to us, have been delivered to the paying agent for cancellation; or</w:t>
      </w:r>
    </w:p>
    <w:p>
      <w:pPr>
        <w:spacing w:after="0" w:line="81" w:lineRule="exact"/>
        <w:rPr>
          <w:rFonts w:ascii="Times New Roman" w:cs="Times New Roman" w:eastAsia="Times New Roman" w:hAnsi="Times New Roman"/>
          <w:sz w:val="18"/>
          <w:szCs w:val="18"/>
          <w:color w:val="auto"/>
        </w:rPr>
      </w:pPr>
    </w:p>
    <w:p>
      <w:pPr>
        <w:ind w:left="2080" w:right="80" w:hanging="533"/>
        <w:spacing w:after="0" w:line="254" w:lineRule="auto"/>
        <w:tabs>
          <w:tab w:leader="none" w:pos="20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that series that have not been delivered to the paying agent for cancellation have become due and payable by reason of the sending of a notice of redemption or otherwise or will become due and payable within one year and we have irrevocably deposited or caused to be deposited with the trustee as trust funds in trust solely for the benefit of the holders of the debt securities of such series, cash in U.S. dollars, U.S. Government Obligations, or a combination of cash in U.S. dollars and U.S. Government Obligations, in amounts as will be sufficient (in the case of a deposit not entirely in cash, in the opinion of an internationally recognized investment bank, appraisal firm or firm of independent public accountants), without consideration of any reinvestment of interest, to pay and discharge the entire outstanding amount of the debt securities of such series not delivered to the paying agent for cancellation for principal, premium, if any, and accrued interest to the date of maturity or redemption;</w:t>
      </w:r>
    </w:p>
    <w:p>
      <w:pPr>
        <w:spacing w:after="0" w:line="93"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under the indenture has occurred and is continuing with respect to the debt securities of that series on the date of the deposit (other than a Default or Event of Default resulting from the borrowing of funds to be applied to such deposit);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sums payable by us under the indenture with respect to the debt securities of that series; and</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irrevocable instructions to the trustee to apply the deposited money toward the payment of the debt securities of that series at maturity or the redemption date, as the case may be.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we must deliver an officer’s certificate and an opinion of legal counsel to the trustee stating that all conditions precedent to satisfaction and discharge have been satisfied.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provide that we may at our option and at any time elect to have all of our obligations discharged with respect to the outstanding debt securities of a series (“Legal Defeasance”) except for:</w:t>
      </w:r>
    </w:p>
    <w:p>
      <w:pPr>
        <w:spacing w:after="0" w:line="67" w:lineRule="exact"/>
        <w:rPr>
          <w:sz w:val="20"/>
          <w:szCs w:val="20"/>
          <w:color w:val="auto"/>
        </w:rPr>
      </w:pPr>
    </w:p>
    <w:p>
      <w:pPr>
        <w:ind w:left="1080" w:right="44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that series that are then outstanding to receive payments in respect of the principal of, or interest or premium on such debt securities when such payments are due from the trust referred to below;</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that series concerning issuing temporary notes, registration of notes, mutilated, destroyed, lost or stolen notes and the maintenance of an office or agency for payment and money for security payments held in trust;</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for the debt securities of that series, and our obligations in connection therewith;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and Covenant Defeasance (as defined below) provisions of the indenture for the debt securities of that series.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indenture will provide that, we may, at our option and at any time, elect to have our obligations with respect to the outstanding debt securities of a series released with respect to certain covenants (including our obligations under the headings “Consolidation, Merger and Sale of Assets” and “Payments for Consent”) that are described in the indenture (“Covenant Defeasance”) and thereafter any omission to comply with those covenants will not constitute a Default or Event of Default. In the event Covenant Defeasance occurs, certain events (not including non-payment, bankruptcy, receivership, rehabilitation and insolvency events) described under the caption “—Events of Default” will no longer constitute an Event of Default.</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also provide that, in order to exercise either Legal Defeasance or Covenant Defeasance:</w:t>
      </w:r>
    </w:p>
    <w:p>
      <w:pPr>
        <w:spacing w:after="0" w:line="131" w:lineRule="exact"/>
        <w:rPr>
          <w:sz w:val="20"/>
          <w:szCs w:val="20"/>
          <w:color w:val="auto"/>
        </w:rPr>
      </w:pPr>
    </w:p>
    <w:p>
      <w:pPr>
        <w:ind w:left="1080" w:right="20" w:hanging="532"/>
        <w:spacing w:after="0" w:line="25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all debt securities of that series subject to Legal Defeasance or Covenant Defeasance, cash in U.S. dollars, U.S. Government Obligations, or a combination of cash in U.S. dollars and U.S. Government Obligations, in amounts as will be sufficient (in the case of a deposit not entirely in cash, in the opinion of an internationally recognized investment bank, appraisal firm or firm of independent public accountants) to pay the principal of, or interest and premium on such debt securities that are then outstanding on the Stated Maturity or on the applicable redemption date, as the case may be, and we must specify whether such debt securities are being defeased to maturity or to a particular redemption date;</w:t>
      </w:r>
    </w:p>
    <w:p>
      <w:pPr>
        <w:spacing w:after="0" w:line="92"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must deliver to the trustee an opinion of legal counsel reasonably acceptable to the trustee confirming that (a) we have received from, or there has been published by, the Internal Revenue Service a ruling or (b) since the date of the indenture, there has been a change in the applicable federal income tax law, in either case to the effect that, and based thereon such opinion of legal counsel will confirm that, the holders of the then outstanding debt securities of that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2"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must deliver to the trustee an opinion of legal counsel reasonably acceptable to the trustee confirming that the holders of the then outstanding debt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debt securities of that series must have occurred and be continuing on the date of such deposit (other than a Default or Event of Default resulting from the borrowing of funds to be applied to such deposit);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8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deposit was not made by us with the intent of preferring the holders of debt securities of that series over our other creditors with the intent of defeating, hindering, delaying or defrauding our creditors or others;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an opinion of legal counsel, each stating that all conditions precedent relating to the Legal Defeasance or the Covenant Defeasance have been complied 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the trustee, except during the continuance of an Event of Default, undertakes to perform such duties and only such duties as are specifically set forth therein. If an Event of Default has occurred and is continuing, the trustee will exercise such of the rights and powers vested in it by the indenture, and use the same degree of care and skill in its exercise, as a prudent person would exercise or use under the circumstances in the conduct of such person’s own affairs.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Whenever the trustee shall have discretion or permissive power in accordance with the indenture or the law, the trustee may decline to exercise the same in the absence of approval by the holders and shall have no obligation to exercise the same unless it has received pre-funding, been indemnified and/or provided with security to its satisfaction against all actions, proceedings, claims, actions or demands to which it may render itself liable and all costs, damages, charges, expenses and liabilities which it may incur by so doing. Neither the trustee nor any of the Agents shall in any event be responsible for indirect, special, punitive or consequential loss or damage of any kind whatsoever (including, but not limited to, loss of profit, whether or not foreseeable, even if advised of the possibility of such loss of damage and regardless of the form of action).</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and the Trust Indenture Act, the trustee is permitted to engage in other transactions with the Company and its affiliates and can profit therefrom without being obliged to account for such profit; and the trustee shall not be under any obligation to monitor any conflict of interest, if any, which may arise between itself and such other parties. The Company has custodial arrangements with the trustee and/or its affiliates. The Company may enter into similar or other banking relationships with the trustee or its affiliates in the future in the normal course of business. In addition, the trustee acts as trustee and as paying agent and registrar with respect to other debt securities issued by the Company and may do so for future issuances of debt securities by the Company as well. The trustee may have interest in, or may be providing, or may in the future provide financial services to other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Indemnity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our obligations to any holder of debt securities under the indenture shall, notwithstanding any judgment in a currency (the “Judgment Currency”) other than U.S. dollars (the “Agreement Currency”), be discharged only to the extent that on the Business Day following receipt by such holder or the trustee, as the case may be, of any amount in the Judgment Currency, such holder or the trustee, as the case may be, may in accordance with normal banking procedures purchase the Agreement Currency with the Judgment Currency. If the amount of the Agreement Currency so purchased is less than the amount originally to be paid to such holder or the trustee, as the case may be, in the Agreement Currency, we agree, as a separate obligation and notwithstanding such judgment, to pay the difference and if the amount of the Agreement Currency so purchased exceeds the amount originally to be paid to such holder, such holder or the trustee, as the case may be, agrees to pay to or for our account such excess, provided that such holder shall not have any obligation to pay any such excess as long as a default by us in our obligations under the indenture or the debt securities of the applicable series has occurred and is continuing, in which case such excess may be applied by such holder to such obligations.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 and Consent to Jurisdiction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will be construed in accordance with the laws of the State of New York. We have agreed that any action arising out of or based upon the indenture may be instituted in any U.S. federal or New York State court located in the Borough of Manhattan, The City of New York, and have irrevocably submitted to the non-exclusive jurisdiction of any such court in any such 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are definitions of certain of the terms used herein. Additional terms are defined elsewhere above or in the indenture.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“Business Day” means a Monday, Tuesday, Wednesday, Thursday or Friday, unless banking institutions or trust companies in The City of New York, Hong Kong, Singapore or Beijing are authorized or obligated by law, regulation or executive order to remain closed on such day.</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“Capital Stock” of any Person means any and all shares, interests, rights to purchase, warrants, options, participations or other equivalents of or interests in (however designated) equity of such Person, including any Preferred Shares and limited liability or partnership interests (whether general or limited), but excluding any debt securities convertible or exchangeable into such equity.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means Burning Rock Biotech Limited, an exempted company incorporated under the laws of the Cayman Islands.</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“Consolidated Affiliated Entity” of any Person means any corporation, association or other entity which is or is required to be consolidated with such Person under Accounting Standards Codification subtopic 810-10, Consolidation: Overall (including any changes, amendments or supplements thereto) or, if such Person prepares its financial statements in accordance with accounting principles other than U.S. GAAP, the equivalent of Accounting Standards Codification subtopic 810-10, Consolidation: Overall under such accounting principles. Unless otherwise specified herein, each reference to a Consolidated Affiliated Entity will refer to a Consolidated Affiliated Entity of ours.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“Controlled Entity” of any Person means a Subsidiary or a Consolidated Affiliated Entity of such Person.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“Group” means the Company and our Controlled Entities.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“holder” in relation to a debt security, means the Person in whose name a debt security is registered in the security register for the registration and the registration of transfer or of exchange of the debt security.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“Lien” means any mortgage, charge, pledge, lien or other form of encumbrance or security interest.</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“Non-recourse Obligation” means indebtedness or other obligations substantially related to (1) the acquisition of assets not previously owned by us or any of our Controlled Entities or (2) the financing of a project involving the purchase, development, improvement or expansion of properties of ours or any of our Controlled Entities, as to which the obligee with respect to such indebtedness or obligation has no recourse to us or any of our Controlled Entities of ours or to our or any such Controlled Entity’s assets other than the assets which were acquired with the proceeds of such transaction or the project financed with the proceeds of such transaction (and the proceeds thereof).</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“Paying Agent” means the initial paying agent under the indenture or its successor as paying agent under the indenture.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“Person” means any individual, corporation, firm, limited liability company, partnership, joint venture, undertaking, association, joint stock company, trust, unincorporated organization, trust, state, government or any agency or political subdivision thereof or any other entity (in each case whether or not being a separate legal entity).</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“PRC” means the People’s Republic of China, excluding, for purposes of this definition, the Hong Kong Special Administrative Region, the Macau Special Administrative Region and Taiwan.</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“Preferred Shares,” as applied to the Capital Stock of any corporation, means Capital Stock of any class or classes (however designated) that is preferred as to the payment of dividends upon liquidation, dissolution or winding up.</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Controlled Entities” at any time shall mean one of our Controlled Entities.</w:t>
      </w:r>
    </w:p>
    <w:p>
      <w:pPr>
        <w:spacing w:after="0" w:line="131"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one or more of the following conditions is/are satisfied:</w:t>
      </w:r>
    </w:p>
    <w:p>
      <w:pPr>
        <w:spacing w:after="0" w:line="130" w:lineRule="exact"/>
        <w:rPr>
          <w:rFonts w:ascii="Times New Roman" w:cs="Times New Roman" w:eastAsia="Times New Roman" w:hAnsi="Times New Roman"/>
          <w:sz w:val="18"/>
          <w:szCs w:val="18"/>
          <w:color w:val="auto"/>
        </w:rPr>
      </w:pPr>
    </w:p>
    <w:p>
      <w:pPr>
        <w:ind w:left="1540" w:right="520" w:hanging="439"/>
        <w:spacing w:after="0" w:line="282"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total revenue or (in the case of one of our Controlled Entities which has one or more Controlled Entities) consolidated total revenue attributable to the Group is at least 10% of the Group’s consolidated total revenue;</w:t>
      </w:r>
    </w:p>
    <w:p>
      <w:pPr>
        <w:spacing w:after="0" w:line="67"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net profit or (in the case of one of our Controlled Entities which has one or more Controlled Entities) consolidated net profit attributable to the Group (in each case before taxation and exceptional items) is at least 10% of the Group’s consolidated net profit (before taxation and exceptional items); or</w:t>
      </w:r>
    </w:p>
    <w:p>
      <w:pPr>
        <w:spacing w:after="0" w:line="81"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net assets or (in the case of one of our Controlled Entities which has one or more Controlled Entities) consolidated net assets attributable to the Group (in each case after deducting minority interests in Subsidiaries) are at least 10% of the Group’s consolidated net assets (after deducting minority interests in Subsidiaries of the Company);</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as calculated by reference to the then latest audited financial statements (consolidated or, as the case may be, unconsolidated) of our Controlled Entity and our then latest audited consolidated financial statements;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provided that, in relation to paragraphs (a), (b) and (c) above:</w:t>
      </w:r>
    </w:p>
    <w:p>
      <w:pPr>
        <w:spacing w:after="0" w:line="131" w:lineRule="exact"/>
        <w:rPr>
          <w:sz w:val="20"/>
          <w:szCs w:val="20"/>
          <w:color w:val="auto"/>
        </w:rPr>
      </w:pPr>
    </w:p>
    <w:p>
      <w:pPr>
        <w:ind w:left="1080" w:hanging="532"/>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or other business entity becoming a Controlled Entity after the end of the financial period to which our latest consolidated audited accounts relate, the reference to our then latest consolidated audited accounts and our Controlled Entities for the purposes of the calculation above shall, until our consolidated audited accounts for the financial period in which the relevant corporation or other business entity becomes a Controlled Entity are issued, be deemed to be a reference to the then latest consolidated audited accounts of us and our Controlled Entities adjusted to consolidate the latest audited accounts (consolidated in the case of a Controlled Entity which itself has Controlled Entities) of such Controlled Entity in such accounts;</w:t>
      </w:r>
    </w:p>
    <w:p>
      <w:pPr>
        <w:spacing w:after="0" w:line="92"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relevant time in relation to us or any Controlled Entity which itself has Controlled Entities, no consolidated accounts are prepared and audited, total revenue, net profit or net assets of us and/or any such Controlled Entity shall be determined on the basis of pro forma consolidated accounts prepared for this purpose by or on behalf of us;</w:t>
      </w:r>
    </w:p>
    <w:p>
      <w:pPr>
        <w:spacing w:after="0" w:line="81"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relevant time in relation to any Controlled Entity, no accounts are audited, its net assets (consolidated, if appropriate) shall be determined on the basis of pro forma accounts (consolidated, if appropriate) of the relevant Controlled Entity prepared for this purpose by or on behalf of us; and</w:t>
      </w:r>
    </w:p>
    <w:p>
      <w:pPr>
        <w:spacing w:after="0" w:line="81"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accounts of any Controlled Entity (not being a Controlled Entity referred to in proviso (1) above) are not consolidated with our accounts, then the determination of whether or not such Controlled Entity is a Principal Controlled Entity shall be based on a pro forma consolidation of its accounts (consolidated, if appropriate) with our consolidated accounts (determined on the basis of the foregoing);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Principal Controlled Entity merges with or into, or to which is transferred all or substantially all of the assets of a Controlled Entity which immediately prior to the transfer was a Principal Controlled Entity; provided that, with effect from such transfer, the Controlled Entity which so transfers its assets and undertakings shall cease to be a Principal Controlled Entity (but without prejudice to paragraph</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and the Controlled Entity to which the assets are so transferred shall become a Principal Controlled Entity.</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 officer’s certificate delivered to the trustee certifying in good faith as to whether or not a Controlled Entity is a Principal Controlled Entity shall be conclusive in the absence of manifest error.</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“Relevant Indebtedness” means any indebtedness which is in the form of, or represented or evidenced by, bonds, notes, debentures, or other securities which for the time being are, or are intended to be or are commonly, quoted, listed or dealt in or traded on any stock exchange or over-the-counter or other securities market, but shall exclude any bank debt, bank loans or securitizations.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“Stated Maturity” means, when used with respect to any debt security or any installment of principal thereof or interest thereon, the date specified in such debt security as the fixed date on which the principal (or any portion thereof) of or premium, if any, on such debt security or such installment of principal or interest is due and payable.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“Subsidiary” of any Person means (a)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(b) any partnership, joint venture limited liability company or similar entity of which more than 50% of the capital accounts, distribution rights, total equity and voting interests or general or limited partnership interests, as applicable, is, in the case of clauses (a) and (b), voting at the time owned or controlled, directly or indirectly, by (1) such Person, (2) such Person and one or more Subsidiaries of such Person or (3) one or more Subsidiaries of such Person. Unless otherwise specified herein, each reference to a Subsidiary will refer to a Subsidiary of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“trustee” means the initial paying agent under the indenture or its successor as trustee under the indenture.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GAAP” refers to generally accepted accounting principles in the United States of America.</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“U.S. Government Obligations”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or any selling security holder may sell or distribute the securities offered by this prospectus, from time to time, in one or more offerings, as follows:</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dealers or underwriters for resale;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In some cases, we or any selling security holder or any dealers acting for us or on our behalf or a selling security holder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securities distributed by any of these methods may be sold to the public, in one or more transactions, either:</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relating to any offering will identify or describe:</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or any selling security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 or the selling security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of the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on which the securities will be listed.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dealers are used in the sale of the securities offered through this prospectus, we or any selling security holder will sell the securities to them as principals, unless we otherwise indicate in the prospectus supplement. The dealers may then resell those securities to the public at varying prices determined by the dealers at the time of resale. The applicable prospectus supplement will include the names of the dealers and the terms of the transaction.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is acting on a best efforts basis for the period of its appointment.</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or any selling security holder may sell the securities directly to institutional investors or others who may be deemed to be underwriters within the meaning of the Securities Act with respect to any sale of those securities. The terms of any such sales will be described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Institutional Investors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indicated in the prospectus supplement, we will authorize underwriters, dealers or agents to solicit offers from various institutional investors to purchase securities. In this case, then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85"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1"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of the arrangements;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any selling security holder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or any selling security holder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Loans of Securities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or any selling security holder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concurrent offering of other securities offered by this prospectus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or any selling security holder,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security holders (if any) to be named in a prospectus supplement may, from time to time, offer, sell and lend some or all of the Class A ordinary shares or ADSs held by them pursuant to this prospectus and the applicable prospectus supplement. Such selling security holders (if any) may sell the Class A ordinary shares or ADSs held by them to or through underwriters, dealers or agents or directly to purchasers or as otherwise set forth in the applicable prospectus supplement. See “Plan of Distribution.” Such selling security holders (if any) may also sell, transfer or otherwise dispose of some or all of the Class A ordinary shares or ADSs held by them in transactions exempt from the registration requirements of the Securities Act.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provide you with a prospectus supplement, which will set forth the name of each selling security holder (if any), the number of Class A ordinary shares beneficially owned by such selling security holder and the number of the Class A ordinary shares or ADSs they are offering. The prospectus supplement also will disclose whether any of the selling security holders (if any) have held any position or office with, have been employed by or otherwise have had a material relationship with us during the three years prior to the date of the prospectus supplement.</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55" w:right="5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are incorporated in the Cayman Islands as an exempted company with limited liability to take advantage of certain benefits associated with being a Cayman Islands exempted company, such as:</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31" w:lineRule="exact"/>
        <w:rPr>
          <w:sz w:val="20"/>
          <w:szCs w:val="20"/>
          <w:color w:val="auto"/>
        </w:rPr>
      </w:pPr>
    </w:p>
    <w:p>
      <w:pPr>
        <w:ind w:left="1080" w:right="2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U.S.; and these securities laws provide significantly less protection to investors as compared to the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U.S., between us, our officers, directors and shareholders, be arbitrated.</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substantially all of our assets are located in China. Most of our directors and executive officers are nationals or residents in China, and most of their assets are located outside the U.S. As a result, it may be difficult for a shareholder to effect service of process within the U.S. upon these individuals, or to bring an action against us or against these individuals in the U.S., in the event that you believe that your rights have been infringed under the securities laws of the U.S. or any state in the U.S. In particular, residence in China may make it even more difficult to enforce any judgments obtained from foreign courts (including from a U.S. state or federal court) against such persons compared to the circumstance of residence in another non-U.S. and non-China jurisdiction.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NY10168, as our agent to receive service of process with respect to any action brought against us in the U.S. District Court for the Southern District of New York under the federal securities laws of the U.S. or the securities laws of any State in the U.S. or any action brought against us in the Supreme Court of the State of New York in the County of New York under the securities laws of the State of New York.</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and Tian Yuan Law Firm, our counsel as to PRC law, have advised us, respectively, that there is uncertainty as to whether the courts of the Cayman Islands and China, respectively, would:</w:t>
      </w:r>
    </w:p>
    <w:p>
      <w:pPr>
        <w:spacing w:after="0" w:line="67" w:lineRule="exact"/>
        <w:rPr>
          <w:sz w:val="20"/>
          <w:szCs w:val="20"/>
          <w:color w:val="auto"/>
        </w:rPr>
      </w:pPr>
    </w:p>
    <w:p>
      <w:pPr>
        <w:ind w:left="1080" w:right="1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predicated upon the civil liability provisions of the securities laws of the U.S. or any state in the U.S.;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U.S. or any state in the U.S.</w:t>
      </w:r>
    </w:p>
    <w:p>
      <w:pPr>
        <w:spacing w:after="0" w:line="16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We have been informed by Maples and Calder (Hong Kong) LLP, our counsel as to Cayman Islands law,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w:t>
      </w:r>
    </w:p>
    <w:p>
      <w:pPr>
        <w:spacing w:after="0" w:line="1" w:lineRule="exact"/>
        <w:rPr>
          <w:sz w:val="20"/>
          <w:szCs w:val="20"/>
          <w:color w:val="auto"/>
        </w:rPr>
      </w:pPr>
    </w:p>
    <w:p>
      <w:pPr>
        <w:ind w:left="120" w:right="100" w:hanging="4"/>
        <w:spacing w:after="0" w:line="260" w:lineRule="auto"/>
        <w:tabs>
          <w:tab w:leader="none" w:pos="3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the Cayman Islands against us or our directors or officers that are predicated upon the federal securities laws of the United States or the securities laws of any state in the United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States. We have also been advised by Maples and Calder (Hong Kong) LLP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Tian Yuan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as well as public policy considerations and conditions set forth in applicable provisions of other PRC laws relating to the enforcement of civil liability.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U.S. or the Cayman Islands.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the common law permits an action to be brought upon a foreign judgment. In other words,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certain legal matters in connection with the securities offered pursuant to this prospectus will be passed upon for us by Cleary Gottlieb Steen &amp; Hamilton LLP, our special United States counsel, to the extent governed by the laws of the State of New York, and by Maples and Calder (Hong Kong) LLP, our legal counsel as to Cayman Islands law, to the extent governed by the laws of the Cayman Islands. Legal matters as to PRC law will be passed upon for us by Tian Yuan Law Firm, our counsel as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Burning Rock Biotech Limited appearing in Burning Rock Biotech Limited’s Annual Report (Form 20-F) for the year ended December 31, 2021, and the effectiveness of Burning Rock Biotech Limited’s internal control over financial reporting as of December 31, 2021 have been audited by Ernst &amp; Young Hua Ming LLP, independent registered public accounting firm, as set forth in their reports thereon, included therein, and incorporated herein by reference. Such consolidated financial statements are incorporated by reference in reliance upon such report given on the authority of such firm as experts in accounting and auditing.</w:t>
      </w:r>
    </w:p>
    <w:p>
      <w:pPr>
        <w:spacing w:after="0" w:line="183" w:lineRule="exact"/>
        <w:rPr>
          <w:sz w:val="20"/>
          <w:szCs w:val="20"/>
          <w:color w:val="auto"/>
        </w:rPr>
      </w:pPr>
    </w:p>
    <w:p>
      <w:pPr>
        <w:jc w:val="center"/>
        <w:spacing w:after="0" w:line="454" w:lineRule="auto"/>
        <w:rPr>
          <w:sz w:val="20"/>
          <w:szCs w:val="20"/>
          <w:color w:val="auto"/>
        </w:rPr>
      </w:pPr>
      <w:r>
        <w:rPr>
          <w:rFonts w:ascii="Times New Roman" w:cs="Times New Roman" w:eastAsia="Times New Roman" w:hAnsi="Times New Roman"/>
          <w:sz w:val="18"/>
          <w:szCs w:val="18"/>
          <w:color w:val="auto"/>
        </w:rPr>
        <w:t>The office of Ernst &amp; Young Hua Ming LLP is located at 18th Floor, EY Tower, 13 Zhujiang East Road, Tianhe District, Guangzhou, PRC. 73</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currently subject to periodic reporting and other informational requirements of the Exchange Act as applicable to foreign private issuers. Under the Exchange Act, we are required to file with or furnish to the SEC reports, including annual reports on Form 20-F and other information. All information filed with or furnished to the SEC can be inspected and copied at the public reference facilities maintained by the SEC at 100 F Street, N.E., Washington, D.C. 20549. You can request copies of these documents upon payment of a duplicating fee, by writing to the SEC. You can call the SEC at 1-800-SEC-0330 for further information on the operation of the public reference rooms. Additional information may also be obtained over the Internet at the SEC’s website at www.sec.gov. We also maintain a website at https://ir.brbiotech.com, but information contained on our website is not incorporated by reference in this prospectus or any prospectus supplement. You should not regard any information on our website as a part of this prospectus or any prospectus supplement.</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at the SEC’s Public Reference Room in Washington, D.C., as well as through the SEC’s website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that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registrant’s tenth amended and restated memorandum and articles of association provide that the registrant shall indemnify its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the registrant’s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Pursuant to the indemnification agreements between the registrant and its directors and executive officers (the form of which is herein incorporated by reference to Exhibit 10.1 to the registration statement on Form F-1 (File No. 333-238596), as amended, initially filed with the SEC on May 22, 2020), the registrant has agreed to indemnify its directors and executive officers against certain liabilities and expenses incurred by such persons in connection with claims made by reason of their being such a director or executive officer.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to be filed as Exhibit 1.1 to this registration statement will also provide for indemnification of the registrant and its officers and directors and other persons.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under the foregoing provisions, the registrant has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Exhibit Index beginning on page II-4 of this registration statement.</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tab/>
        <w:t>The undersigned registrant hereby undertakes:</w:t>
      </w:r>
    </w:p>
    <w:p>
      <w:pPr>
        <w:spacing w:after="0" w:line="117" w:lineRule="exact"/>
        <w:rPr>
          <w:sz w:val="20"/>
          <w:szCs w:val="20"/>
          <w:color w:val="auto"/>
        </w:rPr>
      </w:pPr>
    </w:p>
    <w:p>
      <w:pPr>
        <w:ind w:left="940" w:hanging="384"/>
        <w:spacing w:after="0"/>
        <w:tabs>
          <w:tab w:leader="none" w:pos="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460" w:hanging="353"/>
        <w:spacing w:after="0"/>
        <w:tabs>
          <w:tab w:leader="none" w:pos="14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100" w:right="120" w:firstLine="7"/>
        <w:spacing w:after="0" w:line="255" w:lineRule="auto"/>
        <w:tabs>
          <w:tab w:leader="none" w:pos="14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firstLine="7"/>
        <w:spacing w:after="0" w:line="282" w:lineRule="auto"/>
        <w:tabs>
          <w:tab w:leader="none" w:pos="15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540" w:right="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left="560" w:hanging="4"/>
        <w:spacing w:after="0" w:line="266" w:lineRule="auto"/>
        <w:tabs>
          <w:tab w:leader="none" w:pos="9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560" w:right="480" w:hanging="4"/>
        <w:spacing w:after="0" w:line="282" w:lineRule="auto"/>
        <w:tabs>
          <w:tab w:leader="none" w:pos="9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560" w:hanging="4"/>
        <w:spacing w:after="0" w:line="261" w:lineRule="auto"/>
        <w:tabs>
          <w:tab w:leader="none" w:pos="9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registrant includes in the prospectus, by means of a post-effective amendment, financial statements required pursuant to this paragraph</w:t>
      </w:r>
    </w:p>
    <w:p>
      <w:pPr>
        <w:spacing w:after="0" w:line="71" w:lineRule="exact"/>
        <w:rPr>
          <w:rFonts w:ascii="Times New Roman" w:cs="Times New Roman" w:eastAsia="Times New Roman" w:hAnsi="Times New Roman"/>
          <w:sz w:val="18"/>
          <w:szCs w:val="18"/>
          <w:color w:val="auto"/>
        </w:rPr>
      </w:pPr>
    </w:p>
    <w:p>
      <w:pPr>
        <w:ind w:left="940" w:hanging="384"/>
        <w:spacing w:after="0"/>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information necessary to ensure that all other information in the prospectus is at least as current as the date of those financial</w:t>
      </w:r>
    </w:p>
    <w:p>
      <w:pPr>
        <w:spacing w:after="0" w:line="27" w:lineRule="exact"/>
        <w:rPr>
          <w:rFonts w:ascii="Times New Roman" w:cs="Times New Roman" w:eastAsia="Times New Roman" w:hAnsi="Times New Roman"/>
          <w:sz w:val="18"/>
          <w:szCs w:val="18"/>
          <w:color w:val="auto"/>
        </w:rPr>
      </w:pPr>
    </w:p>
    <w:p>
      <w:pPr>
        <w:ind w:left="5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Notwithstanding the foregoing,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80" w:lineRule="exact"/>
        <w:rPr>
          <w:rFonts w:ascii="Times New Roman" w:cs="Times New Roman" w:eastAsia="Times New Roman" w:hAnsi="Times New Roman"/>
          <w:sz w:val="18"/>
          <w:szCs w:val="18"/>
          <w:color w:val="auto"/>
        </w:rPr>
      </w:pPr>
    </w:p>
    <w:p>
      <w:pPr>
        <w:ind w:left="940" w:hanging="384"/>
        <w:spacing w:after="0"/>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100" w:right="260" w:firstLine="7"/>
        <w:spacing w:after="0" w:line="282" w:lineRule="auto"/>
        <w:tabs>
          <w:tab w:leader="none" w:pos="14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00" w:right="20" w:firstLine="7"/>
        <w:spacing w:after="0" w:line="253"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left="560" w:right="160" w:hanging="4"/>
        <w:spacing w:after="0" w:line="266" w:lineRule="auto"/>
        <w:tabs>
          <w:tab w:leader="none" w:pos="9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700"/>
        <w:spacing w:after="0" w:line="266" w:lineRule="auto"/>
        <w:rPr>
          <w:sz w:val="20"/>
          <w:szCs w:val="20"/>
          <w:color w:val="auto"/>
        </w:rPr>
      </w:pPr>
      <w:r>
        <w:rPr>
          <w:rFonts w:ascii="Times New Roman" w:cs="Times New Roman" w:eastAsia="Times New Roman" w:hAnsi="Times New Roman"/>
          <w:sz w:val="18"/>
          <w:szCs w:val="18"/>
          <w:color w:val="auto"/>
        </w:rPr>
        <w:t>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1100" w:right="620" w:firstLine="7"/>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100" w:right="240" w:firstLine="7"/>
        <w:spacing w:after="0" w:line="282" w:lineRule="auto"/>
        <w:tabs>
          <w:tab w:leader="none" w:pos="14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100" w:right="480" w:firstLine="7"/>
        <w:spacing w:after="0" w:line="282" w:lineRule="auto"/>
        <w:tabs>
          <w:tab w:leader="none" w:pos="154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of 1939, as amended, or the Trust Indenture Act, in accordance with the rules and regulations prescribed by the SEC under Section 305(b)(2) of the Trust Indenture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gridSpan w:val="1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6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4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Registrant’s Specimen Certificate for Ordinary Shares (incorporated herein by reference to Exhibit 4.2 to the registration statement 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F-1 (File No. 333-238596), as amended, initially filed with the SEC on May 22, 2020)</w:t>
              </w:r>
            </w:hyperlink>
          </w:p>
        </w:tc>
        <w:tc>
          <w:tcPr>
            <w:tcW w:w="3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Deposit Agreement among the Registrant, the depositary and all holders and beneficial owners of American Depositary Shares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issued thereunder (incorporated herein by reference to Exhibit 4.3 to the registration statement on Form F-1 (File No. 333-238596), as</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amended, initially filed with the SEC on May 22, 2020)</w:t>
              </w:r>
            </w:hyperlink>
          </w:p>
        </w:tc>
        <w:tc>
          <w:tcPr>
            <w:tcW w:w="57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spacing w:after="0"/>
              <w:rPr>
                <w:sz w:val="24"/>
                <w:szCs w:val="24"/>
                <w:color w:val="auto"/>
              </w:rPr>
            </w:pPr>
          </w:p>
        </w:tc>
        <w:tc>
          <w:tcPr>
            <w:tcW w:w="5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Registrant’s Specimen American Depositary Receipt (included in Exhibit 4.2)</w:t>
              </w:r>
            </w:hyperlink>
          </w:p>
        </w:tc>
        <w:tc>
          <w:tcPr>
            <w:tcW w:w="4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9760" w:type="dxa"/>
            <w:vAlign w:val="bottom"/>
            <w:gridSpan w:val="1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Indenture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9760" w:type="dxa"/>
            <w:vAlign w:val="bottom"/>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Opinion of Maples and Calder (Hong Kong)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9760" w:type="dxa"/>
            <w:vAlign w:val="bottom"/>
            <w:gridSpan w:val="1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Opinion of Cleary Gottlieb Steen &amp; Hamilton LLP regarding the validity of the securities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Ernst &amp; Young Hua Ming LLP, independent registered public accounting firm</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64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Consent of Maples and Calder (Hong Kong) LLP (included in Exhibit 5.1)</w:t>
              </w:r>
            </w:hyperlink>
          </w:p>
        </w:tc>
        <w:tc>
          <w:tcPr>
            <w:tcW w:w="3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9760" w:type="dxa"/>
            <w:vAlign w:val="bottom"/>
            <w:gridSpan w:val="1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Consent of Cleary Gottlieb Steen &amp; Hamilton LLP (included in Exhibit 5.2)</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23.4</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Consent of Tian Yuan Law Firm</w:t>
              </w:r>
            </w:hyperlink>
          </w:p>
        </w:tc>
        <w:tc>
          <w:tcPr>
            <w:tcW w:w="3140" w:type="dxa"/>
            <w:vAlign w:val="bottom"/>
            <w:tcBorders>
              <w:top w:val="single" w:sz="8" w:color="0000EE"/>
            </w:tcBorders>
            <w:gridSpan w:val="7"/>
          </w:tcPr>
          <w:p>
            <w:pPr>
              <w:spacing w:after="0"/>
              <w:rPr>
                <w:sz w:val="24"/>
                <w:szCs w:val="24"/>
                <w:color w:val="auto"/>
              </w:rPr>
            </w:pPr>
          </w:p>
        </w:tc>
        <w:tc>
          <w:tcPr>
            <w:tcW w:w="4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9760" w:type="dxa"/>
            <w:vAlign w:val="bottom"/>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Power of Attorney (included on signature page hereof)</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gridSpan w:val="3"/>
            <w:shd w:val="clear" w:color="auto" w:fill="0000EE"/>
          </w:tcPr>
          <w:p>
            <w:pPr>
              <w:spacing w:after="0" w:line="20" w:lineRule="exact"/>
              <w:rPr>
                <w:sz w:val="1"/>
                <w:szCs w:val="1"/>
                <w:color w:val="auto"/>
              </w:rPr>
            </w:pPr>
          </w:p>
        </w:tc>
        <w:tc>
          <w:tcPr>
            <w:tcW w:w="5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64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T-1 Statement of Eligibility and Qualification under the Trust Indenture Act of the Trustee under the Indenture</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1"/>
                <w:szCs w:val="11"/>
                <w:color w:val="auto"/>
              </w:rPr>
              <w:t>†</w:t>
            </w:r>
          </w:p>
        </w:tc>
        <w:tc>
          <w:tcPr>
            <w:tcW w:w="640" w:type="dxa"/>
            <w:vAlign w:val="bottom"/>
          </w:tcPr>
          <w:p>
            <w:pPr>
              <w:spacing w:after="0"/>
              <w:rPr>
                <w:sz w:val="24"/>
                <w:szCs w:val="24"/>
                <w:color w:val="auto"/>
              </w:rPr>
            </w:pPr>
          </w:p>
        </w:tc>
        <w:tc>
          <w:tcPr>
            <w:tcW w:w="9760" w:type="dxa"/>
            <w:vAlign w:val="bottom"/>
            <w:gridSpan w:val="1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Exhibit Filing Fees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right="260" w:hanging="224"/>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under the Exchange Act and incorporated herein by reference.</w:t>
      </w:r>
    </w:p>
    <w:p>
      <w:pPr>
        <w:ind w:left="340" w:hanging="224"/>
        <w:spacing w:after="0"/>
        <w:tabs>
          <w:tab w:leader="none" w:pos="34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Previously filed.</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20"/>
          </w:cols>
          <w:pgMar w:left="320" w:top="455"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Shanghai, China, on September 12, 2022.</w:t>
      </w:r>
    </w:p>
    <w:p>
      <w:pPr>
        <w:spacing w:after="0" w:line="1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Burning Rock Biotech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Yusheng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2918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Yusheng Han</w:t>
      </w:r>
    </w:p>
    <w:p>
      <w:pPr>
        <w:spacing w:after="0" w:line="27" w:lineRule="exact"/>
        <w:rPr>
          <w:sz w:val="20"/>
          <w:szCs w:val="20"/>
          <w:color w:val="auto"/>
        </w:rPr>
      </w:pPr>
    </w:p>
    <w:p>
      <w:pPr>
        <w:jc w:val="right"/>
        <w:spacing w:after="0"/>
        <w:tabs>
          <w:tab w:leader="none" w:pos="4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Yusheng Han and Leo Li as true and lawful attorneys-in-fact and agents, each with full power of substitution and resubstitution, for him and in his name, place and stead, in any and all capacities, to sign any and all amendments (including post-effective amendments) and supplements to this registration statement on</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Form F-3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 or substitutes, may lawfully do or cause to be done by virtue hereof.</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 on September 12, 2022.</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1546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Yusheng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Yusheng Han</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Shaokun (Shannon) Chuai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Shaokun (Shannon) Chuai</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Leo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Leo Li</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Gang Lu</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Feng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Feng Deng</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Yunxia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Yunxia Yang</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Jing 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Jing Rong</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Wendy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Wendy Hayes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Min-Jui Richard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Min-Jui Richard Shen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566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Chairman of the Board of Directors and Chief Executive Officer (Principal Executive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Director and Chief Financial Officer (Principal Financial Officer And Principal Accounting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2">
            <w:col w:w="4480" w:space="720"/>
            <w:col w:w="5940"/>
          </w:cols>
          <w:pgMar w:left="320" w:top="455" w:right="4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Burning Rock Biotech Limited, has signed this registration statement or amendment thereto in New York on September 12,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00"/>
          </w:cols>
          <w:pgMar w:left="320" w:top="455" w:right="4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3 to the Registration Statement (Form F-3 No.333-264577) and related Prospectus of Burning Rock Biotech Limited for the registration of ordinary shares and to the incorporation by reference therein of our reports dated April 29, 2022, with respect to the consolidated financial statements of Burning Rock Biotech Limited, and the effectiveness of internal control over financial reporting of Burning Rock Biotech Limited, included in its Annual Report (Form 20-F) for the year ended December 31, 2021,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lowerRoman"/>
      <w:start w:val="1"/>
    </w:lvl>
  </w:abstractNum>
  <w:abstractNum w:abstractNumId="6">
    <w:nsid w:val="5C482A97"/>
    <w:multiLevelType w:val="hybridMultilevel"/>
    <w:lvl w:ilvl="0">
      <w:lvlJc w:val="left"/>
      <w:lvlText w:val="(%1)"/>
      <w:numFmt w:val="lowerRoman"/>
      <w:start w:val="3"/>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3"/>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lowerRoman"/>
      <w:start w:val="5"/>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Roman"/>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Roman"/>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lowerRoman"/>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1)"/>
      <w:numFmt w:val="lowerRoman"/>
      <w:start w:val="4"/>
    </w:lvl>
  </w:abstractNum>
  <w:abstractNum w:abstractNumId="39">
    <w:nsid w:val="4F4EF005"/>
    <w:multiLevelType w:val="hybridMultilevel"/>
    <w:lvl w:ilvl="0">
      <w:lvlJc w:val="left"/>
      <w:lvlText w:val="(%1)"/>
      <w:numFmt w:val="lowerRoman"/>
      <w:start w:val="1"/>
    </w:lvl>
  </w:abstractNum>
  <w:abstractNum w:abstractNumId="40">
    <w:nsid w:val="23F9C13C"/>
    <w:multiLevelType w:val="hybridMultilevel"/>
    <w:lvl w:ilvl="0">
      <w:lvlJc w:val="left"/>
      <w:lvlText w:val="(%1)"/>
      <w:numFmt w:val="lowerRoman"/>
      <w:start w:val="1"/>
    </w:lvl>
  </w:abstractNum>
  <w:abstractNum w:abstractNumId="41">
    <w:nsid w:val="649BB77C"/>
    <w:multiLevelType w:val="hybridMultilevel"/>
    <w:lvl w:ilvl="0">
      <w:lvlJc w:val="left"/>
      <w:lvlText w:val="(%1)"/>
      <w:numFmt w:val="lowerRoman"/>
      <w:start w:val="7"/>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1)"/>
      <w:numFmt w:val="lowerRoman"/>
      <w:start w:val="10"/>
    </w:lvl>
  </w:abstractNum>
  <w:abstractNum w:abstractNumId="44">
    <w:nsid w:val="1CF10FD8"/>
    <w:multiLevelType w:val="hybridMultilevel"/>
    <w:lvl w:ilvl="0">
      <w:lvlJc w:val="left"/>
      <w:lvlText w:val="(%1)"/>
      <w:numFmt w:val="lowerRoman"/>
      <w:start w:val="1"/>
    </w:lvl>
  </w:abstractNum>
  <w:abstractNum w:abstractNumId="45">
    <w:nsid w:val="180115BE"/>
    <w:multiLevelType w:val="hybridMultilevel"/>
    <w:lvl w:ilvl="0">
      <w:lvlJc w:val="left"/>
      <w:lvlText w:val="(%1)"/>
      <w:numFmt w:val="lowerRoman"/>
      <w:start w:val="6"/>
    </w:lvl>
  </w:abstractNum>
  <w:abstractNum w:abstractNumId="46">
    <w:nsid w:val="235BA861"/>
    <w:multiLevelType w:val="hybridMultilevel"/>
    <w:lvl w:ilvl="0">
      <w:lvlJc w:val="left"/>
      <w:lvlText w:val="(%1)"/>
      <w:numFmt w:val="decimal"/>
      <w:start w:val="1"/>
    </w:lvl>
    <w:lvl w:ilvl="1">
      <w:lvlJc w:val="left"/>
      <w:lvlText w:val="%2."/>
      <w:numFmt w:val="lowerLetter"/>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5"/>
    </w:lvl>
  </w:abstractNum>
  <w:abstractNum w:abstractNumId="50">
    <w:nsid w:val="741226BB"/>
    <w:multiLevelType w:val="hybridMultilevel"/>
    <w:lvl w:ilvl="0">
      <w:lvlJc w:val="left"/>
      <w:lvlText w:val="(%1)"/>
      <w:numFmt w:val="lowerRoman"/>
      <w:start w:val="1"/>
    </w:lvl>
    <w:lvl w:ilvl="1">
      <w:lvlJc w:val="left"/>
      <w:lvlText w:val="%2."/>
      <w:numFmt w:val="lowerLetter"/>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lowerRoman"/>
      <w:start w:val="2"/>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lowerRoman"/>
      <w:start w:val="2"/>
    </w:lvl>
  </w:abstractNum>
  <w:abstractNum w:abstractNumId="62">
    <w:nsid w:val="1DBABF00"/>
    <w:multiLevelType w:val="hybridMultilevel"/>
    <w:lvl w:ilvl="0">
      <w:lvlJc w:val="left"/>
      <w:lvlText w:val="(%1)"/>
      <w:numFmt w:val="decimal"/>
      <w:start w:val="1"/>
    </w:lvl>
    <w:lvl w:ilvl="1">
      <w:lvlJc w:val="left"/>
      <w:lvlText w:val="(%2)"/>
      <w:numFmt w:val="lowerRoman"/>
      <w:start w:val="1"/>
    </w:lvl>
  </w:abstractNum>
  <w:abstractNum w:abstractNumId="63">
    <w:nsid w:val="4AD084E9"/>
    <w:multiLevelType w:val="hybridMultilevel"/>
    <w:lvl w:ilvl="0">
      <w:lvlJc w:val="left"/>
      <w:lvlText w:val="(%1)"/>
      <w:numFmt w:val="lowerRoman"/>
      <w:start w:val="3"/>
    </w:lvl>
  </w:abstractNum>
  <w:abstractNum w:abstractNumId="64">
    <w:nsid w:val="1F48EAA1"/>
    <w:multiLevelType w:val="hybridMultilevel"/>
    <w:lvl w:ilvl="0">
      <w:lvlJc w:val="left"/>
      <w:lvlText w:val="(%1)"/>
      <w:numFmt w:val="decimal"/>
      <w:start w:val="2"/>
    </w:lvl>
    <w:lvl w:ilvl="1">
      <w:lvlJc w:val="left"/>
      <w:lvlText w:val="(%2)"/>
      <w:numFmt w:val="lowerRoman"/>
      <w:start w:val="1"/>
    </w:lvl>
  </w:abstractNum>
  <w:abstractNum w:abstractNumId="65">
    <w:nsid w:val="1381823A"/>
    <w:multiLevelType w:val="hybridMultilevel"/>
    <w:lvl w:ilvl="0">
      <w:lvlJc w:val="left"/>
      <w:lvlText w:val="%1"/>
      <w:numFmt w:val="lowerLetter"/>
      <w:start w:val="1"/>
    </w:lvl>
    <w:lvl w:ilvl="1">
      <w:lvlJc w:val="left"/>
      <w:lvlText w:val="(%2)"/>
      <w:numFmt w:val="lowerRoman"/>
      <w:start w:val="1"/>
    </w:lvl>
  </w:abstractNum>
  <w:abstractNum w:abstractNumId="66">
    <w:nsid w:val="5DB70AE5"/>
    <w:multiLevelType w:val="hybridMultilevel"/>
    <w:lvl w:ilvl="0">
      <w:lvlJc w:val="left"/>
      <w:lvlText w:val="(%1)"/>
      <w:numFmt w:val="lowerLetter"/>
      <w:start w:val="2"/>
    </w:lvl>
    <w:lvl w:ilvl="1">
      <w:lvlJc w:val="left"/>
      <w:lvlText w:val="%2"/>
      <w:numFmt w:val="lowerRoman"/>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30" Type="http://schemas.openxmlformats.org/officeDocument/2006/relationships/hyperlink" Target="http://www.sec.gov/ix?doc=/Archives/edgar/data/1792267/000119312522133522/d238217d20f.htm" TargetMode="External"/><Relationship Id="rId107" Type="http://schemas.openxmlformats.org/officeDocument/2006/relationships/hyperlink" Target="http://www.sec.gov/Archives/edgar/data/1792267/000119312520149218/d806768dex42.htm" TargetMode="External"/><Relationship Id="rId108" Type="http://schemas.openxmlformats.org/officeDocument/2006/relationships/hyperlink" Target="http://www.sec.gov/Archives/edgar/data/1792267/000119312520162074/d806768dex43.htm" TargetMode="External"/><Relationship Id="rId109" Type="http://schemas.openxmlformats.org/officeDocument/2006/relationships/hyperlink" Target="http://www.sec.gov/Archives/edgar/data/0001792267/000119312522133560/d347022dex44.htm" TargetMode="External"/><Relationship Id="rId110" Type="http://schemas.openxmlformats.org/officeDocument/2006/relationships/hyperlink" Target="http://www.sec.gov/Archives/edgar/data/0001792267/000119312522133560/d347022dex51.htm" TargetMode="External"/><Relationship Id="rId111" Type="http://schemas.openxmlformats.org/officeDocument/2006/relationships/hyperlink" Target="http://www.sec.gov/Archives/edgar/data/0001792267/000119312522133560/d347022dex52.htm" TargetMode="External"/><Relationship Id="rId112" Type="http://schemas.openxmlformats.org/officeDocument/2006/relationships/hyperlink" Target="http://www.sec.gov/Archives/edgar/data/0001792267/000119312522222317/d361579dex234.htm" TargetMode="External"/><Relationship Id="rId113" Type="http://schemas.openxmlformats.org/officeDocument/2006/relationships/hyperlink" Target="http://www.sec.gov/Archives/edgar/data/0001792267/000119312522133560/d347022df3.htm#ii347022_1" TargetMode="External"/><Relationship Id="rId114" Type="http://schemas.openxmlformats.org/officeDocument/2006/relationships/hyperlink" Target="http://www.sec.gov/Archives/edgar/data/0001792267/000119312522133560/d347022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2022-09-12T06:23:27Z</dcterms:created>
  <dcterms:modified xsi:type="dcterms:W3CDTF">2022-09-12T06:23:27Z</dcterms:modified>
</cp:coreProperties>
</file>