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76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762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Han Yusheng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80" w:type="dxa"/>
            <w:vAlign w:val="bottom"/>
            <w:tcBorders>
              <w:top w:val="single" w:sz="8" w:color="0000EE"/>
              <w:bottom w:val="single" w:sz="8" w:color="9A9A9A"/>
            </w:tcBorders>
          </w:tcPr>
          <w:p>
            <w:pPr>
              <w:spacing w:after="0"/>
              <w:rPr>
                <w:sz w:val="16"/>
                <w:szCs w:val="16"/>
                <w:color w:val="auto"/>
              </w:rPr>
            </w:pPr>
          </w:p>
        </w:tc>
        <w:tc>
          <w:tcPr>
            <w:tcW w:w="17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Burning Rock Biotech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NO. 46 - 2000 JIANHE ROAD</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SHANGHAI F4</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200336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5"/>
                <w:szCs w:val="15"/>
                <w:b w:val="1"/>
                <w:bCs w:val="1"/>
                <w:color w:val="auto"/>
                <w:w w:val="99"/>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17,357,806</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580" w:type="dxa"/>
            <w:vAlign w:val="bottom"/>
            <w:tcBorders>
              <w:bottom w:val="single" w:sz="8" w:color="2C2C2C"/>
            </w:tcBorders>
            <w:gridSpan w:val="4"/>
          </w:tcPr>
          <w:p>
            <w:pPr>
              <w:spacing w:after="0"/>
              <w:rPr>
                <w:sz w:val="9"/>
                <w:szCs w:val="9"/>
                <w:color w:val="auto"/>
              </w:rPr>
            </w:pPr>
          </w:p>
        </w:tc>
        <w:tc>
          <w:tcPr>
            <w:tcW w:w="600" w:type="dxa"/>
            <w:vAlign w:val="bottom"/>
            <w:tcBorders>
              <w:bottom w:val="single" w:sz="8" w:color="2C2C2C"/>
            </w:tcBorders>
            <w:gridSpan w:val="2"/>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180" w:type="dxa"/>
            <w:vAlign w:val="bottom"/>
            <w:tcBorders>
              <w:top w:val="single" w:sz="8" w:color="2C2C2C"/>
            </w:tcBorders>
            <w:gridSpan w:val="6"/>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1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09/26/2032</w:t>
            </w:r>
          </w:p>
        </w:tc>
        <w:tc>
          <w:tcPr>
            <w:tcW w:w="1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1,413,063</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88"/>
              </w:rPr>
              <w:t>3.33</w:t>
            </w:r>
            <w:r>
              <w:rPr>
                <w:rFonts w:ascii="Times New Roman" w:cs="Times New Roman" w:eastAsia="Times New Roman" w:hAnsi="Times New Roman"/>
                <w:sz w:val="25"/>
                <w:szCs w:val="25"/>
                <w:color w:val="008000"/>
                <w:w w:val="88"/>
                <w:vertAlign w:val="superscript"/>
              </w:rPr>
              <w:t>(8)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1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09/26/2032</w:t>
            </w:r>
          </w:p>
        </w:tc>
        <w:tc>
          <w:tcPr>
            <w:tcW w:w="1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4"/>
              </w:rPr>
              <w:t>2,119,595</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88"/>
              </w:rPr>
              <w:t>3.33</w:t>
            </w:r>
            <w:r>
              <w:rPr>
                <w:rFonts w:ascii="Times New Roman" w:cs="Times New Roman" w:eastAsia="Times New Roman" w:hAnsi="Times New Roman"/>
                <w:sz w:val="25"/>
                <w:szCs w:val="25"/>
                <w:color w:val="008000"/>
                <w:w w:val="88"/>
                <w:vertAlign w:val="superscript"/>
              </w:rPr>
              <w:t>(8)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1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09/26/2032</w:t>
            </w:r>
          </w:p>
        </w:tc>
        <w:tc>
          <w:tcPr>
            <w:tcW w:w="1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706,532</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88"/>
              </w:rPr>
              <w:t>3.33</w:t>
            </w:r>
            <w:r>
              <w:rPr>
                <w:rFonts w:ascii="Times New Roman" w:cs="Times New Roman" w:eastAsia="Times New Roman" w:hAnsi="Times New Roman"/>
                <w:sz w:val="25"/>
                <w:szCs w:val="25"/>
                <w:color w:val="008000"/>
                <w:w w:val="88"/>
                <w:vertAlign w:val="superscript"/>
              </w:rPr>
              <w:t>(8)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1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09/26/2032</w:t>
            </w:r>
          </w:p>
        </w:tc>
        <w:tc>
          <w:tcPr>
            <w:tcW w:w="1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1,059,797</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88"/>
              </w:rPr>
              <w:t>3.33</w:t>
            </w:r>
            <w:r>
              <w:rPr>
                <w:rFonts w:ascii="Times New Roman" w:cs="Times New Roman" w:eastAsia="Times New Roman" w:hAnsi="Times New Roman"/>
                <w:sz w:val="25"/>
                <w:szCs w:val="25"/>
                <w:color w:val="008000"/>
                <w:w w:val="88"/>
                <w:vertAlign w:val="superscript"/>
              </w:rPr>
              <w:t>(8)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1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04/30/2033</w:t>
            </w:r>
          </w:p>
        </w:tc>
        <w:tc>
          <w:tcPr>
            <w:tcW w:w="1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118,012</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1"/>
              </w:rPr>
              <w:t>0.0002</w:t>
            </w:r>
            <w:r>
              <w:rPr>
                <w:rFonts w:ascii="Times New Roman" w:cs="Times New Roman" w:eastAsia="Times New Roman" w:hAnsi="Times New Roman"/>
                <w:sz w:val="25"/>
                <w:szCs w:val="25"/>
                <w:color w:val="008000"/>
                <w:w w:val="91"/>
                <w:vertAlign w:val="superscript"/>
              </w:rPr>
              <w:t>(8)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1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04/30/2033</w:t>
            </w:r>
          </w:p>
        </w:tc>
        <w:tc>
          <w:tcPr>
            <w:tcW w:w="1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4"/>
              </w:rPr>
              <w:t>86,000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1"/>
              </w:rPr>
              <w:t>0.0002</w:t>
            </w:r>
            <w:r>
              <w:rPr>
                <w:rFonts w:ascii="Times New Roman" w:cs="Times New Roman" w:eastAsia="Times New Roman" w:hAnsi="Times New Roman"/>
                <w:sz w:val="25"/>
                <w:szCs w:val="25"/>
                <w:color w:val="008000"/>
                <w:w w:val="91"/>
                <w:vertAlign w:val="superscript"/>
              </w:rPr>
              <w:t>(8)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1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04/30/2033</w:t>
            </w:r>
          </w:p>
        </w:tc>
        <w:tc>
          <w:tcPr>
            <w:tcW w:w="1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116,000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1"/>
              </w:rPr>
              <w:t>0.0002</w:t>
            </w:r>
            <w:r>
              <w:rPr>
                <w:rFonts w:ascii="Times New Roman" w:cs="Times New Roman" w:eastAsia="Times New Roman" w:hAnsi="Times New Roman"/>
                <w:sz w:val="25"/>
                <w:szCs w:val="25"/>
                <w:color w:val="008000"/>
                <w:w w:val="91"/>
                <w:vertAlign w:val="superscript"/>
              </w:rPr>
              <w:t>(8)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3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1,413,063 share options, which will vest once (a) the valuation of the Issuer (based on the 60-day average closing share price of its publicly traded shares) reaches US$4 billion by the seventh anniversary of the date of grant (the "valuation target"), and (b) the Reporting Person remains employed by the Issuer at the time when the valuation target is achieved.</w:t>
      </w:r>
    </w:p>
    <w:p>
      <w:pPr>
        <w:spacing w:after="0" w:line="29" w:lineRule="exact"/>
        <w:rPr>
          <w:rFonts w:ascii="Times New Roman" w:cs="Times New Roman" w:eastAsia="Times New Roman" w:hAnsi="Times New Roman"/>
          <w:sz w:val="15"/>
          <w:szCs w:val="15"/>
          <w:color w:val="008000"/>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2,119,595 share options, which will vest once (a) the valuation of the Issuer (based on the 60-day average closing share price of its publicly traded shares) reaches US$4 billion by the seventh anniversary of the date of grant (the "valuation target"), (b) the Reporting Person remains employed by the Issuer at the time when the valuation target is achieved, and (c) the Reporting Person has been employed by the Issuer for five years from the date of grant.</w:t>
      </w:r>
    </w:p>
    <w:p>
      <w:pPr>
        <w:spacing w:after="0" w:line="29" w:lineRule="exact"/>
        <w:rPr>
          <w:rFonts w:ascii="Times New Roman" w:cs="Times New Roman" w:eastAsia="Times New Roman" w:hAnsi="Times New Roman"/>
          <w:sz w:val="15"/>
          <w:szCs w:val="15"/>
          <w:color w:val="008000"/>
        </w:rPr>
      </w:pPr>
    </w:p>
    <w:p>
      <w:pPr>
        <w:jc w:val="both"/>
        <w:ind w:left="40" w:right="1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706,532 share options, which will vest once (a) the valuation of the Issuer (based on the 60-day average closing share price of its publicly traded shares) reaches US$10 billion by the seventh anniversary of the date of grant (the "valuation target"), and (b) the Reporting Person remains employed by the Issuer at the time when the valuation target is achieved.</w:t>
      </w:r>
    </w:p>
    <w:p>
      <w:pPr>
        <w:spacing w:after="0" w:line="29" w:lineRule="exact"/>
        <w:rPr>
          <w:rFonts w:ascii="Times New Roman" w:cs="Times New Roman" w:eastAsia="Times New Roman" w:hAnsi="Times New Roman"/>
          <w:sz w:val="15"/>
          <w:szCs w:val="15"/>
          <w:color w:val="008000"/>
        </w:rPr>
      </w:pPr>
    </w:p>
    <w:p>
      <w:pPr>
        <w:ind w:left="40" w:right="1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1,059,797 share options, which will vest once (a) the valuation of the Issuer (based on the 60-day average closing share price of its publicly traded shares) reaches US$10 billion by the seventh anniversary of the date of grant (the "valuation target"), (b) the Reporting Person remains employed by the Issuer at the time when the valuation target is achieved, and (c) the Reporting Person has been employed by the Issuer for five years from the date of grant.</w:t>
      </w:r>
    </w:p>
    <w:p>
      <w:pPr>
        <w:spacing w:after="0" w:line="29" w:lineRule="exact"/>
        <w:rPr>
          <w:rFonts w:ascii="Times New Roman" w:cs="Times New Roman" w:eastAsia="Times New Roman" w:hAnsi="Times New Roman"/>
          <w:sz w:val="15"/>
          <w:szCs w:val="15"/>
          <w:color w:val="008000"/>
        </w:rPr>
      </w:pPr>
    </w:p>
    <w:p>
      <w:pPr>
        <w:ind w:left="40" w:right="1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April 30, 2023, the Reporting Person was granted 236,023 share options, with 50%, 25% and 25% of the granted share options vesting on January 1, 2025, January 1, 2026 and January 1, 2027, respectively, subject to: (a) the Reporting Person's continued employment, and (b) the annual performance rating of the Reporting Person reaching at least 3.3 for each year from 2023 to 2026.</w:t>
      </w:r>
    </w:p>
    <w:p>
      <w:pPr>
        <w:spacing w:after="0" w:line="29" w:lineRule="exact"/>
        <w:rPr>
          <w:rFonts w:ascii="Times New Roman" w:cs="Times New Roman" w:eastAsia="Times New Roman" w:hAnsi="Times New Roman"/>
          <w:sz w:val="15"/>
          <w:szCs w:val="15"/>
          <w:color w:val="008000"/>
        </w:rPr>
      </w:pPr>
    </w:p>
    <w:p>
      <w:pPr>
        <w:ind w:left="40" w:right="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April 30, 2024, the Reporting Person was granted 86,000 share options, with 50%, 25% and 25% of the granted share options vesting on January 1, 2026, January 1, 2027 and January 1, 2028, respectively, subject to: (a) the Reporting Person's continued employment, and (b) the annual performance rating of the Reporting Person reaching at least 3.3 for the year of 2024.</w:t>
      </w:r>
    </w:p>
    <w:p>
      <w:pPr>
        <w:spacing w:after="0" w:line="29" w:lineRule="exact"/>
        <w:rPr>
          <w:rFonts w:ascii="Times New Roman" w:cs="Times New Roman" w:eastAsia="Times New Roman" w:hAnsi="Times New Roman"/>
          <w:sz w:val="15"/>
          <w:szCs w:val="15"/>
          <w:color w:val="008000"/>
        </w:rPr>
      </w:pPr>
    </w:p>
    <w:p>
      <w:pPr>
        <w:ind w:left="40" w:right="1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April 30, 2025, the Reporting Person was granted 116,000 share options, with 50%, 25% and 25% of the granted share options vesting on January 1, 2027, January 1, 2028 and January 1, 2029, respectively, subject to: (a) the Reporting Person's continued employment, and (b) the annual performance rating of the Reporting Person reaching at least 3.3 for the year of 2025.</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option represents the right to receive, upon exercise, one ordinary share.</w:t>
      </w:r>
    </w:p>
    <w:p>
      <w:pPr>
        <w:sectPr>
          <w:pgSz w:w="11900" w:h="16838" w:orient="portrait"/>
          <w:cols w:equalWidth="0" w:num="1">
            <w:col w:w="10940"/>
          </w:cols>
          <w:pgMar w:left="480" w:top="230" w:right="479" w:bottom="0" w:gutter="0" w:footer="0" w:header="0"/>
          <w:type w:val="continuous"/>
        </w:sectPr>
      </w:pPr>
    </w:p>
    <w:p>
      <w:pPr>
        <w:spacing w:after="0" w:line="5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Yuheng Huang,</w:t>
            </w:r>
          </w:p>
        </w:tc>
        <w:tc>
          <w:tcPr>
            <w:tcW w:w="7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03/17/2026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Yusheng Han</w:t>
            </w:r>
          </w:p>
        </w:tc>
        <w:tc>
          <w:tcPr>
            <w:tcW w:w="540" w:type="dxa"/>
            <w:vAlign w:val="bottom"/>
            <w:tcBorders>
              <w:top w:val="single" w:sz="8" w:color="auto"/>
            </w:tcBorders>
            <w:gridSpan w:val="2"/>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99" w:lineRule="exact"/>
        <w:rPr>
          <w:sz w:val="20"/>
          <w:szCs w:val="20"/>
          <w:color w:val="auto"/>
        </w:rPr>
      </w:pPr>
    </w:p>
    <w:p>
      <w:pPr>
        <w:ind w:left="80" w:right="20" w:firstLine="923"/>
        <w:spacing w:after="0" w:line="249"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Yanli Xu, Dongyue Zheng, Yuheng Huang and Kaiyan Chen acting singly, and with full power of substitution or revocation,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98" w:lineRule="exact"/>
        <w:rPr>
          <w:sz w:val="20"/>
          <w:szCs w:val="20"/>
          <w:color w:val="auto"/>
        </w:rPr>
      </w:pPr>
    </w:p>
    <w:p>
      <w:pPr>
        <w:jc w:val="both"/>
        <w:ind w:left="800" w:right="20" w:hanging="345"/>
        <w:spacing w:after="0" w:line="247"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and submit to the SEC, and/or any national securities exchange on which Burning Rock Biotech Limited (the “Company”) securities are listed, any and all reports (including any amendments thereto) the undersigned is required to file with the SEC under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213" w:lineRule="exact"/>
        <w:rPr>
          <w:rFonts w:ascii="Times New Roman" w:cs="Times New Roman" w:eastAsia="Times New Roman" w:hAnsi="Times New Roman"/>
          <w:sz w:val="21"/>
          <w:szCs w:val="21"/>
          <w:color w:val="auto"/>
        </w:rPr>
      </w:pPr>
    </w:p>
    <w:p>
      <w:pPr>
        <w:jc w:val="both"/>
        <w:ind w:left="800" w:right="20" w:hanging="345"/>
        <w:spacing w:after="0" w:line="249"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54" w:lineRule="exact"/>
        <w:rPr>
          <w:sz w:val="20"/>
          <w:szCs w:val="20"/>
          <w:color w:val="auto"/>
        </w:rPr>
      </w:pPr>
    </w:p>
    <w:p>
      <w:pPr>
        <w:ind w:left="800" w:right="20" w:hanging="345"/>
        <w:spacing w:after="0" w:line="272" w:lineRule="auto"/>
        <w:tabs>
          <w:tab w:leader="none" w:pos="8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187" w:lineRule="exact"/>
        <w:rPr>
          <w:rFonts w:ascii="Times New Roman" w:cs="Times New Roman" w:eastAsia="Times New Roman" w:hAnsi="Times New Roman"/>
          <w:sz w:val="21"/>
          <w:szCs w:val="21"/>
          <w:color w:val="auto"/>
        </w:rPr>
      </w:pPr>
    </w:p>
    <w:p>
      <w:pPr>
        <w:jc w:val="both"/>
        <w:ind w:left="800" w:right="20" w:hanging="345"/>
        <w:spacing w:after="0" w:line="255" w:lineRule="auto"/>
        <w:tabs>
          <w:tab w:leader="none" w:pos="8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0" w:lineRule="exact"/>
        <w:rPr>
          <w:rFonts w:ascii="Times New Roman" w:cs="Times New Roman" w:eastAsia="Times New Roman" w:hAnsi="Times New Roman"/>
          <w:sz w:val="21"/>
          <w:szCs w:val="21"/>
          <w:color w:val="auto"/>
        </w:rPr>
      </w:pPr>
    </w:p>
    <w:p>
      <w:pPr>
        <w:jc w:val="both"/>
        <w:ind w:left="800" w:right="20" w:hanging="345"/>
        <w:spacing w:after="0" w:line="249" w:lineRule="auto"/>
        <w:tabs>
          <w:tab w:leader="none" w:pos="8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1"/>
          <w:szCs w:val="21"/>
          <w:color w:val="auto"/>
        </w:rPr>
      </w:pPr>
    </w:p>
    <w:p>
      <w:pPr>
        <w:jc w:val="both"/>
        <w:ind w:left="800" w:right="20" w:hanging="345"/>
        <w:spacing w:after="0" w:line="255" w:lineRule="auto"/>
        <w:tabs>
          <w:tab w:leader="none" w:pos="8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66" w:lineRule="exact"/>
        <w:rPr>
          <w:sz w:val="20"/>
          <w:szCs w:val="20"/>
          <w:color w:val="auto"/>
        </w:rPr>
      </w:pPr>
    </w:p>
    <w:p>
      <w:pPr>
        <w:jc w:val="both"/>
        <w:ind w:left="80" w:right="40" w:firstLine="973"/>
        <w:spacing w:after="0" w:line="247"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any and every act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73" w:lineRule="exact"/>
        <w:rPr>
          <w:sz w:val="20"/>
          <w:szCs w:val="20"/>
          <w:color w:val="auto"/>
        </w:rPr>
      </w:pPr>
    </w:p>
    <w:p>
      <w:pPr>
        <w:ind w:left="80" w:firstLine="923"/>
        <w:spacing w:after="0" w:line="24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554990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800"/>
          </w:cols>
          <w:pgMar w:left="520" w:top="1440" w:right="579" w:bottom="1440" w:gutter="0" w:footer="0" w:header="0"/>
        </w:sectPr>
      </w:pPr>
    </w:p>
    <w:bookmarkStart w:id="3" w:name="page4"/>
    <w:bookmarkEnd w:id="3"/>
    <w:p>
      <w:pPr>
        <w:spacing w:after="0" w:line="305"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March 17,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Yusheng Han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Signature: /s/ Yusheng 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564515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43554" TargetMode="External"/><Relationship Id="rId11" Type="http://schemas.openxmlformats.org/officeDocument/2006/relationships/hyperlink" Target="http://www.sec.gov/cgi-bin/browse-edgar?action=getcompany&amp;CIK=0001792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2026-03-17T09:12:06Z</dcterms:created>
  <dcterms:modified xsi:type="dcterms:W3CDTF">2026-03-17T09:12:06Z</dcterms:modified>
</cp:coreProperties>
</file>