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160" w:right="11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BURNING ROCK BIOTECH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No.5 Xingdao Ring Road North, International Bio Island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Guangzhou, Guangdong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Exhibit 99.1 (excluding the paragraphs under the heading “Non-GAAP Measures,” the table under the heading “Burning Rock Biotech Limited Reconciliations of GAAP and Non-GAAP Results,” and other discussions on non-GAAP measures therein) of this current report on Form 6-K (the “Report”) shall be incorporated by reference into the Company’s registration statements on Form F-3, which became effective on September 30, 2022 (File no. 333-264577).</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440" w:top="266" w:right="6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9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Burning Rock Biotech Limited</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Yusheng Han</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Yusheng Han</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Burning Rock Reports Second Quarter 2025 Financial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GUANGZHOU, China, September 8, 2025—Burning Rock Biotech Limited (NASDAQ: BNR, the “Company” or “Burning Rock”), a company focused on the application of next generation sequencing (NGS) technology in the field of precision oncology, today reported financial results for the three months ended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121" w:lineRule="exact"/>
        <w:rPr>
          <w:sz w:val="20"/>
          <w:szCs w:val="20"/>
          <w:color w:val="auto"/>
        </w:rPr>
      </w:pPr>
    </w:p>
    <w:p>
      <w:pPr>
        <w:ind w:right="1160"/>
        <w:spacing w:after="0" w:line="282" w:lineRule="auto"/>
        <w:rPr>
          <w:sz w:val="20"/>
          <w:szCs w:val="20"/>
          <w:color w:val="auto"/>
        </w:rPr>
      </w:pPr>
      <w:r>
        <w:rPr>
          <w:rFonts w:ascii="Times New Roman" w:cs="Times New Roman" w:eastAsia="Times New Roman" w:hAnsi="Times New Roman"/>
          <w:sz w:val="18"/>
          <w:szCs w:val="18"/>
          <w:color w:val="auto"/>
        </w:rPr>
        <w:t>Total Revenues were RMB148.5 million (US$20.7 million) for the three months ended June 30, 2025, representing a 9.6% increase from RMB135.5 million for the same period in 2024.</w:t>
      </w:r>
    </w:p>
    <w:p>
      <w:pPr>
        <w:spacing w:after="0" w:line="67" w:lineRule="exact"/>
        <w:rPr>
          <w:sz w:val="20"/>
          <w:szCs w:val="20"/>
          <w:color w:val="auto"/>
        </w:rPr>
      </w:pPr>
    </w:p>
    <w:p>
      <w:pPr>
        <w:ind w:left="960" w:right="4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in-hospital business was RMB62.5 million (US$8.7 million) for the three months ended June 30, 2025, representing a 4.4% increase from RMB59.9 million for the same period in 2024, driven by an increase in sales volume from existing hospitals and new contracted partner hospitals.</w:t>
      </w:r>
    </w:p>
    <w:p>
      <w:pPr>
        <w:spacing w:after="0" w:line="81" w:lineRule="exact"/>
        <w:rPr>
          <w:rFonts w:ascii="Times New Roman" w:cs="Times New Roman" w:eastAsia="Times New Roman" w:hAnsi="Times New Roman"/>
          <w:sz w:val="18"/>
          <w:szCs w:val="18"/>
          <w:color w:val="auto"/>
        </w:rPr>
      </w:pPr>
    </w:p>
    <w:p>
      <w:pPr>
        <w:jc w:val="both"/>
        <w:ind w:left="960" w:right="28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central laboratory business was RMB40.9 million (US$5.7 million) for the three months ended June 30, 2025, representing a 16.2% decrease from RMB48.8 million for the same period in 2024, primarily attributable to a decrease in the number of tests, as we continued our transition towards in-hospital testing.</w:t>
      </w:r>
    </w:p>
    <w:p>
      <w:pPr>
        <w:spacing w:after="0" w:line="81" w:lineRule="exact"/>
        <w:rPr>
          <w:rFonts w:ascii="Times New Roman" w:cs="Times New Roman" w:eastAsia="Times New Roman" w:hAnsi="Times New Roman"/>
          <w:sz w:val="18"/>
          <w:szCs w:val="18"/>
          <w:color w:val="auto"/>
        </w:rPr>
      </w:pPr>
    </w:p>
    <w:p>
      <w:pPr>
        <w:jc w:val="both"/>
        <w:ind w:left="960" w:right="2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pharma research and development services was RMB45.2 million (US$6.3 million) for the three months ended June 30, 2025, representing a 68.1% increase from RMB26.9 million for the same period in 2024, primarily attributable to an increased development and testing services performed for our pharma customers.</w:t>
      </w:r>
    </w:p>
    <w:p>
      <w:pPr>
        <w:spacing w:after="0" w:line="176" w:lineRule="exact"/>
        <w:rPr>
          <w:sz w:val="20"/>
          <w:szCs w:val="20"/>
          <w:color w:val="auto"/>
        </w:rPr>
      </w:pPr>
    </w:p>
    <w:p>
      <w:pPr>
        <w:ind w:right="1220"/>
        <w:spacing w:after="0" w:line="282" w:lineRule="auto"/>
        <w:rPr>
          <w:sz w:val="20"/>
          <w:szCs w:val="20"/>
          <w:color w:val="auto"/>
        </w:rPr>
      </w:pPr>
      <w:r>
        <w:rPr>
          <w:rFonts w:ascii="Times New Roman" w:cs="Times New Roman" w:eastAsia="Times New Roman" w:hAnsi="Times New Roman"/>
          <w:sz w:val="18"/>
          <w:szCs w:val="18"/>
          <w:color w:val="auto"/>
        </w:rPr>
        <w:t>Cost of revenues was RMB40.5 million (US$5.6 million) for the three months ended June 30, 2025, representing an 0.9% increase from RMB40.1 million for the same period in 2024.</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Gross profit was RMB108.1 million (US$15.1 million) for the three months ended June 30, 2025, representing a 13.3% increase from RMB 95.4 million for the same period in 2024. Gross margin was 72.8% for the three months ended June 30, 2025, compared to 70.4% for the same period in 2024. By channel, gross margin of central laboratory business was 87.9% for the three months ended June 30, 2025, compared to 78.8% during the same period in 2024, primarily due to a reduction in material and shipping costs resulted from cost optimization and control measures; gross margin of in-hospital business was 74.4% for the three months ended June 30, 2025, compared to 73.6% during the same period in 2024, primarily due to a decreased depreciation; gross margin of pharma research and development services was 56.8% for the three months ended June 30, 2025, compared to 48.2% during the same period of 2024, primarily due to a decreased depreciation and an increase in test volume of higher margin projects.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Non-GAAP gross profit, which excludes depreciation and amortization expenses, was RMB110.5 million (US$15.4 million) for the three months ended June 30, 2025, representing a 8.4% increase from RMB101.9 million for the same period in 2024. Non-GAAP gross margin was 74.4% for the three months ended June 30, 2025, compared to 75.2% for the same period in 2024.</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expenses were RMB119.6 million (US$16.7 million) for the three months ended June 30, 2025, representing a 42.1% decrease from RMB206.7 million for the same period in 2024. The decrease was primarily driven by budget control measures and headcount reduction to improve the Company’s operating efficiency.</w:t>
      </w:r>
    </w:p>
    <w:p>
      <w:pPr>
        <w:spacing w:after="0" w:line="81" w:lineRule="exact"/>
        <w:rPr>
          <w:sz w:val="20"/>
          <w:szCs w:val="20"/>
          <w:color w:val="auto"/>
        </w:rPr>
      </w:pPr>
    </w:p>
    <w:p>
      <w:pPr>
        <w:ind w:left="960" w:right="2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RMB49.8 million (US$6.9 million) for the three months ended June 30, 2025, representing a 23.4% decrease from RMB65.0 million for the same period in 2024, primarily due to (i) a decrease in amortized expense on share-based compensation; and (ii) a decrease in the expenditure for research projects.</w:t>
      </w:r>
    </w:p>
    <w:p>
      <w:pPr>
        <w:spacing w:after="0" w:line="81"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were RMB38.4 million (US$5.4 million) for the three months ended June 30, 2025, representing a 21.5% decrease from RMB48.9 million for the same period in 2024, primarily due to (i) a decrease in staff cost resulted from the reorganization of the sales department and improvement in operating efficiency; and (ii) a decrease in entertainment expense; and (iii) a decrease in depreciation and amortization expense.</w:t>
      </w:r>
    </w:p>
    <w:p>
      <w:pPr>
        <w:spacing w:after="0" w:line="85"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RMB31.4 million (US$4.4 million) for the three months ended June 30, 2025, representing a 66.1% decrease from RMB92.8 million for the same period in 2024, primarily due to an decrease in amortized expense on share-based compensation.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loss was RMB9.7 million (US$1.4 million) for the three months ended June 30, 2025, compared to RMB108.0 million for the same period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were RMB455.0 million (US$63.5 million) as of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This press release contains translations of certain Renminbi amounts into U.S. dollars at a specified rate solely for the convenience of the reader. Unless otherwise noted, all translations from Renminbi to U.S. dollars and from U.S. dollars to Renminbi are made at a rate of RMB7.1636 to US$1.00, the exchange rate on June 30, 2025, set forth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Burning Rock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Burning Rock Biotech Limited (NASDAQ: BNR), whose mission is to guard life via science, focuses on the application of next generation sequencing (NGS) technology in the field of precision oncology. Its business consists of i) NGS-based therapy selection testing for late-stage cancer patients, and ii) cancer early detection, which has moved beyond proof-of-concept R&amp;D into the clinical validation stage.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Burning Rock, please visit: ir.brbiotech.com.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Burning Rock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Burning Rock’s beliefs and expectations, are forward-looking statements. Such statements are based upon management’s current expectations and current market and operating conditions, and relate to events that involve known or unknown risks, uncertainties and other factors, all of which are difficult to predict and many of which are beyond Burning Rock’s control. Forward-looking statements involve risks, uncertainties and other factors that could cause actual results to differ materially from those contained in any such statements. All information provided in this press release is as of the date of this press release, and Burning Rock does not undertake any obligation to update any forward-looking statement as a result of new information, future events or otherwise, except as required under applicable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measures, such as non-GAAP gross profit and non-GAAP gross margin,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(“U.S. GAAP”). The company defines non-GAAP gross profit as gross profit excluding depreciation and amortization. The company defines non-GAAP gross margin as gross margin excluding depreciation and amortization.</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presents these non-GAAP financial measures because they are used by management to evaluate operating performance and formulate business plans. The company believe non-GAAP gross profit and non-GAAP gross margin excluding non-cash impact of depreciation and amortization reflect the company’s ongoing business operations in a manner that allows more meaningful period-to-period comparisons.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Contact: IR@brbiotech.com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Operating Data</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700" w:type="dxa"/>
            <w:vAlign w:val="bottom"/>
          </w:tcPr>
          <w:p>
            <w:pPr>
              <w:spacing w:after="0"/>
              <w:rPr>
                <w:sz w:val="10"/>
                <w:szCs w:val="10"/>
                <w:color w:val="auto"/>
              </w:rPr>
            </w:pPr>
          </w:p>
        </w:tc>
        <w:tc>
          <w:tcPr>
            <w:tcW w:w="98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34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57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In-hospital Channel:</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Pipeline partner hospitals</w:t>
            </w:r>
            <w:r>
              <w:rPr>
                <w:rFonts w:ascii="Times New Roman" w:cs="Times New Roman" w:eastAsia="Times New Roman" w:hAnsi="Times New Roman"/>
                <w:sz w:val="25"/>
                <w:szCs w:val="25"/>
                <w:color w:val="auto"/>
                <w:vertAlign w:val="superscript"/>
              </w:rPr>
              <w:t>(1)</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Contracted partner hospitals</w:t>
            </w:r>
            <w:r>
              <w:rPr>
                <w:rFonts w:ascii="Times New Roman" w:cs="Times New Roman" w:eastAsia="Times New Roman" w:hAnsi="Times New Roman"/>
                <w:sz w:val="25"/>
                <w:szCs w:val="25"/>
                <w:color w:val="auto"/>
                <w:vertAlign w:val="superscript"/>
              </w:rPr>
              <w:t>(2)</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partner hospitals</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88</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91</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92</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w:t>
            </w:r>
          </w:p>
        </w:tc>
      </w:tr>
    </w:tbl>
    <w:p>
      <w:pPr>
        <w:spacing w:after="0" w:line="202" w:lineRule="exact"/>
        <w:rPr>
          <w:sz w:val="20"/>
          <w:szCs w:val="20"/>
          <w:color w:val="auto"/>
        </w:rPr>
      </w:pPr>
    </w:p>
    <w:p>
      <w:pPr>
        <w:ind w:left="424" w:right="200" w:hanging="424"/>
        <w:spacing w:after="0" w:line="208"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Refers to hospitals that are in the process of establishing in-hospital laboratories, laboratory equipment procurement or installation, staff training or pilot testing using the Company’s products.</w:t>
      </w:r>
    </w:p>
    <w:p>
      <w:pPr>
        <w:spacing w:after="0" w:line="1" w:lineRule="exact"/>
        <w:rPr>
          <w:rFonts w:ascii="Times New Roman" w:cs="Times New Roman" w:eastAsia="Times New Roman" w:hAnsi="Times New Roman"/>
          <w:sz w:val="27"/>
          <w:szCs w:val="27"/>
          <w:color w:val="auto"/>
          <w:vertAlign w:val="superscript"/>
        </w:rPr>
      </w:pPr>
    </w:p>
    <w:p>
      <w:pPr>
        <w:ind w:left="424" w:right="140" w:hanging="424"/>
        <w:spacing w:after="0" w:line="200"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Refers to hospitals that have entered into contracts to purchase the Company’s products for use on a recurring basis in their respective in-hospital laboratories the Company helped them establish. Kit revenue is generated from contracted hospitals.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Financial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2640" w:type="dxa"/>
            <w:vAlign w:val="bottom"/>
            <w:gridSpan w:val="2"/>
          </w:tcPr>
          <w:p>
            <w:pPr>
              <w:jc w:val="center"/>
              <w:ind w:left="16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2"/>
          </w:tcPr>
          <w:p>
            <w:pPr>
              <w:jc w:val="cente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9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48,773</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39,984</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39,278</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38,296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40,861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2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59,872</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63,769</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43,464</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57,687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62,496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26,888</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24,891</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43,280</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37,099</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45,197</w:t>
            </w: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135,533</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128,644</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126,022</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133,082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148,554</w:t>
            </w:r>
          </w:p>
        </w:tc>
        <w:tc>
          <w:tcPr>
            <w:tcW w:w="0" w:type="dxa"/>
            <w:vAlign w:val="bottom"/>
          </w:tcPr>
          <w:p>
            <w:pPr>
              <w:spacing w:after="0"/>
              <w:rPr>
                <w:sz w:val="1"/>
                <w:szCs w:val="1"/>
                <w:color w:val="auto"/>
              </w:rPr>
            </w:pPr>
          </w:p>
        </w:tc>
      </w:tr>
      <w:tr>
        <w:trPr>
          <w:trHeight w:val="342"/>
        </w:trPr>
        <w:tc>
          <w:tcPr>
            <w:tcW w:w="4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880" w:type="dxa"/>
            <w:vAlign w:val="bottom"/>
          </w:tcPr>
          <w:p>
            <w:pPr>
              <w:spacing w:after="0"/>
              <w:rPr>
                <w:sz w:val="10"/>
                <w:szCs w:val="10"/>
                <w:color w:val="auto"/>
              </w:rPr>
            </w:pPr>
          </w:p>
        </w:tc>
        <w:tc>
          <w:tcPr>
            <w:tcW w:w="760" w:type="dxa"/>
            <w:vAlign w:val="bottom"/>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40" w:type="dxa"/>
            <w:vAlign w:val="bottom"/>
          </w:tcPr>
          <w:p>
            <w:pPr>
              <w:jc w:val="center"/>
              <w:ind w:left="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2640" w:type="dxa"/>
            <w:vAlign w:val="bottom"/>
            <w:gridSpan w:val="2"/>
          </w:tcPr>
          <w:p>
            <w:pPr>
              <w:jc w:val="center"/>
              <w:ind w:left="16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2"/>
          </w:tcPr>
          <w:p>
            <w:pPr>
              <w:jc w:val="cente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9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38,424</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33,262</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33,153</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32,191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35,937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2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44,058</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46,580</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29,563</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43,895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12,956</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12,004</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26,706</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21,315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25,676</w:t>
            </w: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95,438</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91,846</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89,422</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97,401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0" w:type="dxa"/>
            <w:vAlign w:val="bottom"/>
          </w:tcPr>
          <w:p>
            <w:pPr>
              <w:spacing w:after="0"/>
              <w:rPr>
                <w:sz w:val="1"/>
                <w:szCs w:val="1"/>
                <w:color w:val="auto"/>
              </w:rPr>
            </w:pPr>
          </w:p>
        </w:tc>
      </w:tr>
      <w:tr>
        <w:trPr>
          <w:trHeight w:val="342"/>
        </w:trPr>
        <w:tc>
          <w:tcPr>
            <w:tcW w:w="4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Share-based compensation expenses</w:t>
            </w:r>
          </w:p>
        </w:tc>
        <w:tc>
          <w:tcPr>
            <w:tcW w:w="18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2640" w:type="dxa"/>
            <w:vAlign w:val="bottom"/>
            <w:gridSpan w:val="2"/>
          </w:tcPr>
          <w:p>
            <w:pPr>
              <w:jc w:val="center"/>
              <w:ind w:left="16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2"/>
          </w:tcPr>
          <w:p>
            <w:pPr>
              <w:jc w:val="cente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9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464</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520</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308</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12,008</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3,180</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3,202</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1,800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1,232</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1,917</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1,353</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1,025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54,407</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4,732</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2,937</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1,413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2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68,111</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10,118</w:t>
            </w: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8,012</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4,546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2,379</w:t>
            </w: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18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Comprehensive Loss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for number of shares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500" w:type="dxa"/>
            <w:vAlign w:val="bottom"/>
          </w:tcPr>
          <w:p>
            <w:pPr>
              <w:spacing w:after="0"/>
              <w:rPr>
                <w:sz w:val="10"/>
                <w:szCs w:val="10"/>
                <w:color w:val="auto"/>
              </w:rPr>
            </w:pPr>
          </w:p>
        </w:tc>
        <w:tc>
          <w:tcPr>
            <w:tcW w:w="9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45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02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135,533</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128,644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126,022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133,082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148,554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20,737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(40,095)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(36,798)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(36,600)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(35,681)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(40,451)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(5,646)</w:t>
            </w:r>
          </w:p>
        </w:tc>
      </w:tr>
      <w:tr>
        <w:trPr>
          <w:trHeight w:val="27"/>
        </w:trPr>
        <w:tc>
          <w:tcPr>
            <w:tcW w:w="4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95,438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91,846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89,422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15,091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(64,952)</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(49,150)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(52,203)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(40,389)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(49,770)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(48,907)</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(48,411)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(46,730)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(40,888)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(38,413)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(92,794)</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(32,874)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(37,289)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(31,303)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(31,417)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(35,127)</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(206,653)</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(130,435)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(171,349)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(112,580)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(119,600)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(16,696)</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(38,589)</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(81,927)</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(11,497)</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12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3,187</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(35,544)</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(75,980)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(9,458)</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12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(35,745)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(81,294)</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(9,702)</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12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attributable to Burning Rock Biotech Limited’s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(108,038)</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(35,745)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(81,294)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(1,354)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(108,038)</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(35,745)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(81,294)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(1,354)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(0.79)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(0.79)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194"/>
        </w:trPr>
        <w:tc>
          <w:tcPr>
            <w:tcW w:w="4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loss per</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 computation:</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85,271,858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85,902,670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86,036,286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90,291,658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90,357,970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90,357,970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17,324,848</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17,324,848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(4,054)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(107,098)</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(39,799)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(75,285)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(13,572)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(1,388)</w:t>
            </w:r>
          </w:p>
        </w:tc>
      </w:tr>
      <w:tr>
        <w:trPr>
          <w:trHeight w:val="194"/>
        </w:trPr>
        <w:tc>
          <w:tcPr>
            <w:tcW w:w="4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Burning Rock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Biotech Limited’s shareholders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(107,098)</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(39,799)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(75,285)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(13,572)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(1,388)</w:t>
            </w:r>
          </w:p>
        </w:tc>
      </w:tr>
      <w:tr>
        <w:trPr>
          <w:trHeight w:val="364"/>
        </w:trPr>
        <w:tc>
          <w:tcPr>
            <w:tcW w:w="4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Comprehensive Loss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for number of shares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32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17"/>
        </w:trPr>
        <w:tc>
          <w:tcPr>
            <w:tcW w:w="782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0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261,156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281,636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39,315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(80,024)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(76,132)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(10,629)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181,132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205,504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28,686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(130,937)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(90,159)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(12,586)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(95,763)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(79,301)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(191,475)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(62,720)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(8,755)</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(418,175)</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(232,180)</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(237,043)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(26,676)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(3,725)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(229,217)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(22,734)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(3,175)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(229,587)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(23,202)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(3,240)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Burning Rock Biotech Limited’s shareholders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(229,587)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(23,202)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(229,587)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(23,202)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(3,240)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used in loss per share computation: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85,246,969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90,324,997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90,324,997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17,324,848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(228,057)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(23,517)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(3,284)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Burning Rock Biotech Limited’s shareholders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(228,057)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(23,517)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(3,284)</w:t>
            </w:r>
          </w:p>
        </w:tc>
        <w:tc>
          <w:tcPr>
            <w:tcW w:w="0" w:type="dxa"/>
            <w:vAlign w:val="bottom"/>
          </w:tcPr>
          <w:p>
            <w:pPr>
              <w:spacing w:after="0"/>
              <w:rPr>
                <w:sz w:val="1"/>
                <w:szCs w:val="1"/>
                <w:color w:val="auto"/>
              </w:rPr>
            </w:pPr>
          </w:p>
        </w:tc>
      </w:tr>
      <w:tr>
        <w:trPr>
          <w:trHeight w:val="365"/>
        </w:trPr>
        <w:tc>
          <w:tcPr>
            <w:tcW w:w="78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5120" w:type="dxa"/>
            <w:vAlign w:val="bottom"/>
            <w:gridSpan w:val="2"/>
          </w:tcPr>
          <w:p>
            <w:pPr>
              <w:jc w:val="center"/>
              <w:ind w:left="4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519,849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452,721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63,197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2,313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152,013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189,969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26,519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5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13,855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14,755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62,625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57,810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4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23,254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776,618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740,812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103,413</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47,152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38,968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53,188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84,119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11,743</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885,305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824,931</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280" w:type="dxa"/>
            <w:vAlign w:val="bottom"/>
            <w:vMerge w:val="restart"/>
          </w:tcPr>
          <w:p>
            <w:pPr>
              <w:jc w:val="right"/>
              <w:ind w:right="2872"/>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940" w:type="dxa"/>
            <w:vAlign w:val="bottom"/>
            <w:gridSpan w:val="2"/>
          </w:tcPr>
          <w:p>
            <w:pPr>
              <w:jc w:val="center"/>
              <w:ind w:left="30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33,747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32,164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117,895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102,800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14,350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4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89,498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75,120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4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230,131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32,126</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4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27,754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10,425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38,179</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30,565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304,478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260,696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36,393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4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4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5,002,255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5,006,839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698,928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4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(63,264)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(60,923)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4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(4,200,261)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(4,223,463)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(589,573)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(158,048)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(158,363)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(22,107)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580,827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564,235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78,763</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885,305</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824,931</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100" w:type="dxa"/>
            <w:vAlign w:val="bottom"/>
            <w:vMerge w:val="restart"/>
          </w:tcPr>
          <w:p>
            <w:pPr>
              <w:jc w:val="right"/>
              <w:ind w:right="2471"/>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1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5180" w:type="dxa"/>
            <w:vAlign w:val="bottom"/>
          </w:tcPr>
          <w:p>
            <w:pPr>
              <w:spacing w:after="0"/>
              <w:rPr>
                <w:sz w:val="15"/>
                <w:szCs w:val="15"/>
                <w:color w:val="auto"/>
              </w:rPr>
            </w:pPr>
          </w:p>
        </w:tc>
        <w:tc>
          <w:tcPr>
            <w:tcW w:w="3380" w:type="dxa"/>
            <w:vAlign w:val="bottom"/>
            <w:gridSpan w:val="2"/>
          </w:tcPr>
          <w:p>
            <w:pPr>
              <w:jc w:val="center"/>
              <w:ind w:left="24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(40,836)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(44,349)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(6,191)</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generated from investing activities</w:t>
            </w:r>
          </w:p>
        </w:tc>
        <w:tc>
          <w:tcPr>
            <w:tcW w:w="3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2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(39,627)</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(42,382)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(5,916)</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3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572,674</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3"/>
              </w:rPr>
              <w:t>       497,406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1"/>
              </w:rPr>
              <w:t>   69,434</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3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533,047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455,024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63,518</w:t>
            </w:r>
          </w:p>
        </w:tc>
      </w:tr>
      <w:tr>
        <w:trPr>
          <w:trHeight w:val="365"/>
        </w:trPr>
        <w:tc>
          <w:tcPr>
            <w:tcW w:w="5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7"/>
        </w:trPr>
        <w:tc>
          <w:tcPr>
            <w:tcW w:w="51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2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5180" w:type="dxa"/>
            <w:vAlign w:val="bottom"/>
          </w:tcPr>
          <w:p>
            <w:pPr>
              <w:spacing w:after="0"/>
              <w:rPr>
                <w:sz w:val="15"/>
                <w:szCs w:val="15"/>
                <w:color w:val="auto"/>
              </w:rPr>
            </w:pPr>
          </w:p>
        </w:tc>
        <w:tc>
          <w:tcPr>
            <w:tcW w:w="3380" w:type="dxa"/>
            <w:vAlign w:val="bottom"/>
            <w:gridSpan w:val="2"/>
          </w:tcPr>
          <w:p>
            <w:pPr>
              <w:jc w:val="center"/>
              <w:ind w:left="24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(81,045)</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(67,876)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(9,475)</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(2,613)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2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1,489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(82,169)</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(67,138)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(9,373)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3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615,216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522,162</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72,891</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3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533,047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455,024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63,518</w:t>
            </w:r>
          </w:p>
        </w:tc>
      </w:tr>
      <w:tr>
        <w:trPr>
          <w:trHeight w:val="364"/>
        </w:trPr>
        <w:tc>
          <w:tcPr>
            <w:tcW w:w="5180" w:type="dxa"/>
            <w:vAlign w:val="bottom"/>
          </w:tcPr>
          <w:p>
            <w:pPr>
              <w:spacing w:after="0"/>
              <w:rPr>
                <w:sz w:val="24"/>
                <w:szCs w:val="24"/>
                <w:color w:val="auto"/>
              </w:rPr>
            </w:pPr>
          </w:p>
        </w:tc>
        <w:tc>
          <w:tcPr>
            <w:tcW w:w="2560" w:type="dxa"/>
            <w:vAlign w:val="bottom"/>
          </w:tcPr>
          <w:p>
            <w:pPr>
              <w:jc w:val="right"/>
              <w:ind w:right="2112"/>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5240" w:type="dxa"/>
            <w:vAlign w:val="bottom"/>
          </w:tcPr>
          <w:p>
            <w:pPr>
              <w:spacing w:after="0"/>
              <w:rPr>
                <w:sz w:val="10"/>
                <w:szCs w:val="10"/>
                <w:color w:val="auto"/>
              </w:rPr>
            </w:pPr>
          </w:p>
        </w:tc>
        <w:tc>
          <w:tcPr>
            <w:tcW w:w="112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0" w:type="dxa"/>
            <w:vAlign w:val="bottom"/>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80" w:type="dxa"/>
            <w:vAlign w:val="bottom"/>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Pr>
          <w:p>
            <w:pPr>
              <w:jc w:val="center"/>
              <w:ind w:left="3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0"/>
                <w:szCs w:val="10"/>
                <w:color w:val="auto"/>
              </w:rPr>
            </w:pPr>
          </w:p>
        </w:tc>
      </w:tr>
      <w:tr>
        <w:trPr>
          <w:trHeight w:val="173"/>
        </w:trPr>
        <w:tc>
          <w:tcPr>
            <w:tcW w:w="524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60" w:type="dxa"/>
            <w:vAlign w:val="bottom"/>
            <w:gridSpan w:val="2"/>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38,424</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33,262</w:t>
            </w: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33,153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32,191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35,937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44,058</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46,580</w:t>
            </w:r>
          </w:p>
        </w:tc>
        <w:tc>
          <w:tcPr>
            <w:tcW w:w="13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29,563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43,895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46,490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12,956</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12,004</w:t>
            </w: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26,706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21,315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25,676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95,438</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91,846</w:t>
            </w:r>
          </w:p>
        </w:tc>
        <w:tc>
          <w:tcPr>
            <w:tcW w:w="13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89,422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108,103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depreciation and amortization:</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1,226</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1,277</w:t>
            </w:r>
          </w:p>
        </w:tc>
        <w:tc>
          <w:tcPr>
            <w:tcW w:w="13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562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824</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798</w:t>
            </w: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623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290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4,417</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3,846</w:t>
            </w:r>
          </w:p>
        </w:tc>
        <w:tc>
          <w:tcPr>
            <w:tcW w:w="13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2,534</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2,412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included in cost of revenues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6,467</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5,921</w:t>
            </w: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4,167</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3,264</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2,373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39,650</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34,539</w:t>
            </w: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34,163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32,753</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36,393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44,882</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47,378</w:t>
            </w:r>
          </w:p>
        </w:tc>
        <w:tc>
          <w:tcPr>
            <w:tcW w:w="13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30,186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44,185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46,879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17,373</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15,850</w:t>
            </w: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29,240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23,727</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non-GAAP gross profit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101,905</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97,767</w:t>
            </w:r>
          </w:p>
        </w:tc>
        <w:tc>
          <w:tcPr>
            <w:tcW w:w="13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93,589</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100,665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110,476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81.3%</w:t>
            </w: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86.4%</w:t>
            </w:r>
          </w:p>
        </w:tc>
        <w:tc>
          <w:tcPr>
            <w:tcW w:w="13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87.0%</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85.5%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74.3%</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69.5%</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63.7%</w:t>
            </w:r>
          </w:p>
        </w:tc>
        <w:tc>
          <w:tcPr>
            <w:tcW w:w="13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67.6%</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64.0%</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non-GAAP gross margin</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75.2%</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76.0%</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74.3%</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75.6%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74.4%</w:t>
            </w:r>
          </w:p>
        </w:tc>
      </w:tr>
      <w:tr>
        <w:trPr>
          <w:trHeight w:val="342"/>
        </w:trPr>
        <w:tc>
          <w:tcPr>
            <w:tcW w:w="524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2025-09-08T05:16:45Z</dcterms:created>
  <dcterms:modified xsi:type="dcterms:W3CDTF">2025-09-08T05:16:45Z</dcterms:modified>
</cp:coreProperties>
</file>