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0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000FF"/>
        </w:rPr>
        <w:t>Burning Rock Biotech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620"/>
        <w:spacing w:after="0" w:line="262" w:lineRule="auto"/>
        <w:rPr>
          <w:sz w:val="20"/>
          <w:szCs w:val="20"/>
          <w:color w:val="auto"/>
        </w:rPr>
      </w:pPr>
      <w:r>
        <w:rPr>
          <w:rFonts w:ascii="Times New Roman" w:cs="Times New Roman" w:eastAsia="Times New Roman" w:hAnsi="Times New Roman"/>
          <w:sz w:val="22"/>
          <w:szCs w:val="22"/>
          <w:b w:val="1"/>
          <w:bCs w:val="1"/>
          <w:color w:val="0000FF"/>
        </w:rPr>
        <w:t>American Depository Shares ("ADSs") of the Issuer, each ADS representing one Class A Ordinary Share, par value $0.0002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000FF"/>
        </w:rPr>
        <w:t>12233L107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12233L107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900"/>
          </w:cols>
          <w:pgMar w:left="360" w:top="866" w:right="6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12233L107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12233L107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Yue Tang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994,883.00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Burning Rock Biotech Ltd</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w:t>
      </w:r>
    </w:p>
    <w:p>
      <w:pPr>
        <w:sectPr>
          <w:pgSz w:w="11900" w:h="16838" w:orient="portrait"/>
          <w:cols w:equalWidth="0" w:num="1">
            <w:col w:w="10099"/>
          </w:cols>
          <w:pgMar w:left="360" w:top="612" w:right="1440" w:bottom="0" w:gutter="0" w:footer="0" w:header="0"/>
          <w:type w:val="continuous"/>
        </w:sectPr>
      </w:pPr>
    </w:p>
    <w:bookmarkStart w:id="3" w:name="page4"/>
    <w:bookmarkEnd w:id="3"/>
    <w:p>
      <w:pPr>
        <w:ind w:left="920" w:right="160"/>
        <w:spacing w:after="0" w:line="256" w:lineRule="auto"/>
        <w:rPr>
          <w:sz w:val="20"/>
          <w:szCs w:val="20"/>
          <w:color w:val="auto"/>
        </w:rPr>
      </w:pPr>
      <w:r>
        <w:rPr>
          <w:rFonts w:ascii="Times New Roman" w:cs="Times New Roman" w:eastAsia="Times New Roman" w:hAnsi="Times New Roman"/>
          <w:sz w:val="22"/>
          <w:szCs w:val="22"/>
          <w:color w:val="auto"/>
        </w:rPr>
        <w:t>NO. 5 XINGDAO RING ROAD NORTH,, INTERNATIONAL BIO ISLAND, GUANGZHOU, GUANGDONG, CHINA 510005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900"/>
        <w:spacing w:after="0" w:line="256" w:lineRule="auto"/>
        <w:rPr>
          <w:sz w:val="20"/>
          <w:szCs w:val="20"/>
          <w:color w:val="auto"/>
        </w:rPr>
      </w:pPr>
      <w:r>
        <w:rPr>
          <w:rFonts w:ascii="Times New Roman" w:cs="Times New Roman" w:eastAsia="Times New Roman" w:hAnsi="Times New Roman"/>
          <w:sz w:val="22"/>
          <w:szCs w:val="22"/>
          <w:color w:val="auto"/>
        </w:rPr>
        <w:t>Kynam Capital Management, LP Kynam Capital Management GP, LLC Yue Tang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221 ELM ROAD PRINCETON, New Jersey 08540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17"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Kynam Capital Management, LP - DELAWARE Kynam Capital Management GP, LLC - DELAWARE Yue Tang -</w:t>
      </w: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UNITED STATES</w:t>
      </w:r>
    </w:p>
    <w:p>
      <w:pPr>
        <w:spacing w:after="0" w:line="20" w:lineRule="exact"/>
        <w:rPr>
          <w:rFonts w:ascii="Times New Roman" w:cs="Times New Roman" w:eastAsia="Times New Roman" w:hAnsi="Times New Roman"/>
          <w:sz w:val="42"/>
          <w:szCs w:val="42"/>
          <w:color w:val="auto"/>
          <w:vertAlign w:val="superscript"/>
        </w:rPr>
      </w:pP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Title of class of securities:</w:t>
      </w:r>
    </w:p>
    <w:p>
      <w:pPr>
        <w:spacing w:after="0" w:line="233" w:lineRule="exact"/>
        <w:rPr>
          <w:rFonts w:ascii="Times New Roman" w:cs="Times New Roman" w:eastAsia="Times New Roman" w:hAnsi="Times New Roman"/>
          <w:sz w:val="42"/>
          <w:szCs w:val="42"/>
          <w:color w:val="auto"/>
          <w:vertAlign w:val="superscript"/>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Depository Shares ("ADSs") of the Issuer, each ADS representing one Class A Ordinary Share, par value $0.0002 per share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12233L107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994,883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- 994,883 Kynam Capital Management GP, LLC - 994,883 Yue Tang - 994,883</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- 994,883 Kynam Capital Management GP, LLC - 994,883 Yue Tang - 994,883</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20"/>
          </w:cols>
          <w:pgMar w:left="360" w:top="112" w:right="61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Yue Tang</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2025-11-14T11:42:30Z</dcterms:created>
  <dcterms:modified xsi:type="dcterms:W3CDTF">2025-11-14T11:42:30Z</dcterms:modified>
</cp:coreProperties>
</file>