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BURNING ROCK BIOTECH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No.5 Xingdao Ring Road North, International Bio Island</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Guangzhou, Guangdong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0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Exhibit 99.1 (excluding the paragraphs under the heading “Non-GAAP Measures,” the table under the heading “Burning Rock Biotech Limited Reconciliations of GAAP and Non-GAAP Results,” and other discussions on non-GAAP measures therein) of this current report on Form 6-K (the “Report”) shall be incorporated by reference into the Company’s registration statements on Form F-3, which became effective on September 30, 2022 (File no. 333-264577).</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440" w:top="266" w:right="67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70"/>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Burning Rock Biotech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Yusheng Han</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Yusheng Han</w:t>
            </w:r>
          </w:p>
        </w:tc>
      </w:t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2025</w:t>
            </w:r>
          </w:p>
        </w:tc>
        <w:tc>
          <w:tcPr>
            <w:tcW w:w="4860" w:type="dxa"/>
            <w:vAlign w:val="bottom"/>
          </w:tcPr>
          <w:p>
            <w:pPr>
              <w:spacing w:after="0"/>
              <w:rPr>
                <w:sz w:val="20"/>
                <w:szCs w:val="20"/>
                <w:color w:val="auto"/>
              </w:rPr>
            </w:pPr>
          </w:p>
        </w:tc>
      </w:tr>
      <w:tr>
        <w:trPr>
          <w:trHeight w:val="364"/>
        </w:trPr>
        <w:tc>
          <w:tcPr>
            <w:tcW w:w="616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Burning Rock Reports Third Quarter 2025 Financial Results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GUANGZHOU, China, November 20, 2025—Burning Rock Biotech Limited (NASDAQ: BNR, the “Company” or “Burning Rock”), a company focused on the application of next generation sequencing (NGS) technology in the field of precision oncology, today reported financial results for the three months ended September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Updates</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Therapy Selection</w:t>
      </w:r>
    </w:p>
    <w:p>
      <w:pPr>
        <w:spacing w:after="0" w:line="128" w:lineRule="exact"/>
        <w:rPr>
          <w:rFonts w:ascii="Times New Roman" w:cs="Times New Roman" w:eastAsia="Times New Roman" w:hAnsi="Times New Roman"/>
          <w:sz w:val="18"/>
          <w:szCs w:val="18"/>
          <w:color w:val="auto"/>
        </w:rPr>
      </w:pPr>
    </w:p>
    <w:p>
      <w:pPr>
        <w:ind w:left="1420" w:right="400" w:hanging="331"/>
        <w:spacing w:after="0" w:line="261"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study results at the </w:t>
      </w:r>
      <w:r>
        <w:rPr>
          <w:rFonts w:ascii="Times New Roman" w:cs="Times New Roman" w:eastAsia="Times New Roman" w:hAnsi="Times New Roman"/>
          <w:sz w:val="18"/>
          <w:szCs w:val="18"/>
          <w:i w:val="1"/>
          <w:iCs w:val="1"/>
          <w:color w:val="auto"/>
        </w:rPr>
        <w:t>Cell Reports Medicine</w:t>
      </w:r>
      <w:r>
        <w:rPr>
          <w:rFonts w:ascii="Times New Roman" w:cs="Times New Roman" w:eastAsia="Times New Roman" w:hAnsi="Times New Roman"/>
          <w:sz w:val="18"/>
          <w:szCs w:val="18"/>
          <w:color w:val="auto"/>
        </w:rPr>
        <w:t xml:space="preserve"> on esophageal squamous cell carcinoma in September 2025. “Integrating ctDNA with clinical response evaluation improves residual disease detection post-neoadjuvant chemoradiotherapy to support organsparing strategies and that postoperative ctDNA stratifies recurrence risk beyond pathological response to inform adjuvant immunotherapy decisions”.</w:t>
      </w:r>
    </w:p>
    <w:p>
      <w:pPr>
        <w:spacing w:after="0" w:line="8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Detection</w:t>
      </w:r>
    </w:p>
    <w:p>
      <w:pPr>
        <w:spacing w:after="0" w:line="128" w:lineRule="exact"/>
        <w:rPr>
          <w:rFonts w:ascii="Times New Roman" w:cs="Times New Roman" w:eastAsia="Times New Roman" w:hAnsi="Times New Roman"/>
          <w:sz w:val="18"/>
          <w:szCs w:val="18"/>
          <w:color w:val="auto"/>
        </w:rPr>
      </w:pPr>
    </w:p>
    <w:p>
      <w:pPr>
        <w:ind w:left="1420" w:right="20" w:hanging="331"/>
        <w:spacing w:after="0" w:line="257"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PROMISE study test results presented at </w:t>
      </w:r>
      <w:r>
        <w:rPr>
          <w:rFonts w:ascii="Times New Roman" w:cs="Times New Roman" w:eastAsia="Times New Roman" w:hAnsi="Times New Roman"/>
          <w:sz w:val="18"/>
          <w:szCs w:val="18"/>
          <w:i w:val="1"/>
          <w:iCs w:val="1"/>
          <w:color w:val="auto"/>
        </w:rPr>
        <w:t>The Innovation</w:t>
      </w:r>
      <w:r>
        <w:rPr>
          <w:rFonts w:ascii="Times New Roman" w:cs="Times New Roman" w:eastAsia="Times New Roman" w:hAnsi="Times New Roman"/>
          <w:sz w:val="18"/>
          <w:szCs w:val="18"/>
          <w:color w:val="auto"/>
        </w:rPr>
        <w:t xml:space="preserve"> in September 2025. “The PROMISE study was conducted to investigate the feasibility of a multi-omics integration strategy in multi-cancer detection blood tests across nine types of cancers in head and neck (excluding nasopharynx), esophagus, lung, stomach, liver, biliary tract, pancreas, colorectum, and ovary……Compared to the methylation-based classifier, the multimodal classifier combining methylation and protein features, exhibited an improved sensitivity of 75.1% (95% 75 confidence interval [CI], 69.3%–80.3%) at the same specificity of 98.8% with the accuracy of top predicted origin (TPO1) of 73.1% (95% CI, 66.2%–79.2%)”.</w:t>
      </w:r>
    </w:p>
    <w:p>
      <w:pPr>
        <w:spacing w:after="0" w:line="89"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Services</w:t>
      </w:r>
    </w:p>
    <w:p>
      <w:pPr>
        <w:spacing w:after="0" w:line="130" w:lineRule="exact"/>
        <w:rPr>
          <w:rFonts w:ascii="Times New Roman" w:cs="Times New Roman" w:eastAsia="Times New Roman" w:hAnsi="Times New Roman"/>
          <w:sz w:val="18"/>
          <w:szCs w:val="18"/>
          <w:color w:val="auto"/>
        </w:rPr>
      </w:pPr>
    </w:p>
    <w:p>
      <w:pPr>
        <w:ind w:left="1420" w:right="520" w:hanging="331"/>
        <w:spacing w:after="0" w:line="224"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OncoGuide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CDx System based on OncoScreen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Plus to be used as a companion diagnostic for AstraZeneca’s capivasertib has received Manufacturing and Marketing Approval from Japan’s Ministry of Health, Labour and Welfare (MHLW) in September, 2025.</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Total revenues were RMB131.6 million (US$18.5 million) for the three months ended September 30, 2025, representing a 2.3% increase from RMB128.6 million for the same period in 2024 .</w:t>
      </w:r>
    </w:p>
    <w:p>
      <w:pPr>
        <w:spacing w:after="0" w:line="67" w:lineRule="exact"/>
        <w:rPr>
          <w:sz w:val="20"/>
          <w:szCs w:val="20"/>
          <w:color w:val="auto"/>
        </w:rPr>
      </w:pPr>
    </w:p>
    <w:p>
      <w:pPr>
        <w:ind w:left="960" w:right="3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in-hospital business was RMB52.8 million (US$7.4 million) for the three months ended September 30, 2025, representing a 17.1% decrease from RMB63.8 million for the same period in 2024, driven by a decrease in sales volume.</w:t>
      </w:r>
    </w:p>
    <w:p>
      <w:pPr>
        <w:spacing w:after="0" w:line="67"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central laboratory business was RMB36.8 million (US$5.2 million) for the three months ended September 30, 2025, representing a 7.9% decrease from RMB40.0 million for the same period in 2024, primarily attributable to a decrease in the number of tests, as we continued our transition towards in-hospital testing.</w:t>
      </w:r>
    </w:p>
    <w:p>
      <w:pPr>
        <w:spacing w:after="0" w:line="81"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pharma research and development services was RMB42.0 million (US$5.9 million) for the three months ended September 30, 2025, representing a 68.6% increase from RMB24.9 million for the same period in 2024, primarily attributable to an increased development and testing services performed for our pharma customers.</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Cost of revenues was RMB32.8 million (US$4.6 million) for the three months ended September 30, 2025, representing an 10.9% decrease from RMB36.8 million for the same period in 2024.</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Gross profit was RMB98.8 million (US$13.9 million) for the three months ended September 30, 2025, representing a 7.6% increase from RMB91.8 million for the same period in 2024. Gross margin was 75.1% for the three months ended September 30, 2025, compared to 71.4% for the same period in 2024. By channel, gross margin of central laboratory business and in-hospital business were 81.8% and 71.8% for the three months ended September 30, 2025, compared to 83.2% and 73.0% during the same period in 2024, primarily due to the cost reduction caused by the rent subsidy for the headquarter building in the third quarter of 2024; gross margin of pharma research and development services was 73.4% for the three months ended September 30, 2025, compared to 48.2% during the same period of 2024, primarily due to the significant increase in revenue from high-margin companion diagnostic (CDx) projects.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Non-GAAP gross profit, which excludes depreciation and amortization expenses, was RMB100.9 million (US$14.2million) for the three months ended September 30, 2025, representing a 3.2% increase from RMB97.8 million for the same period in 2024. Non-GAAP gross margin was 76.7% for the three months ended September 30, 2025, compared to 76.0% for the same period in 2024.</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Operating expenses were RMB115.0 million (US$16.2 million) for the three months ended September 30, 2025, representing a 11.9% decrease from RMB130.4 million for the same period in 2024. The decrease was primarily driven by decreases in amortized expense on share-based compensation, budget control measures and headcount reduction to improve the Company’s operating efficiency.</w:t>
      </w:r>
    </w:p>
    <w:p>
      <w:pPr>
        <w:spacing w:after="0" w:line="81" w:lineRule="exact"/>
        <w:rPr>
          <w:sz w:val="20"/>
          <w:szCs w:val="20"/>
          <w:color w:val="auto"/>
        </w:rPr>
      </w:pPr>
    </w:p>
    <w:p>
      <w:pPr>
        <w:ind w:left="960" w:right="12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RMB41.5 million (US$5.8 million) for the three months ended September 30, 2025, representing a 15.6% decrease from RMB49.2 million for the same period in 2024, primarily due to (i) a decrease in the expenditure for research projects; (iii) a decrease in amortized expense on share-based compensation; and (iv) a decrease in amortized expenses for office building decoration.</w:t>
      </w:r>
    </w:p>
    <w:p>
      <w:pPr>
        <w:spacing w:after="0" w:line="85" w:lineRule="exact"/>
        <w:rPr>
          <w:rFonts w:ascii="Times New Roman" w:cs="Times New Roman" w:eastAsia="Times New Roman" w:hAnsi="Times New Roman"/>
          <w:sz w:val="18"/>
          <w:szCs w:val="18"/>
          <w:color w:val="auto"/>
        </w:rPr>
      </w:pPr>
    </w:p>
    <w:p>
      <w:pPr>
        <w:ind w:left="960" w:right="18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were RMB41.8 million (US$5.9 million) for the three months ended September 30, 2025, representing a 13.6% decrease from RMB48.4 million for the same period in 2024, primarily due to (i) a decrease in staff cost resulted from the reorganization of the sales department and improvement in operating efficiency; (ii) a decrease in amortized expense on share-based compensation; and (iii) a decrease in amortized expenses for office building decoration.</w:t>
      </w:r>
    </w:p>
    <w:p>
      <w:pPr>
        <w:spacing w:after="0" w:line="85" w:lineRule="exact"/>
        <w:rPr>
          <w:rFonts w:ascii="Times New Roman" w:cs="Times New Roman" w:eastAsia="Times New Roman" w:hAnsi="Times New Roman"/>
          <w:sz w:val="18"/>
          <w:szCs w:val="18"/>
          <w:color w:val="auto"/>
        </w:rPr>
      </w:pPr>
    </w:p>
    <w:p>
      <w:pPr>
        <w:ind w:left="960" w:right="50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RMB31.7 million (US$4.5 million) for the three months ended September 30, 2025, representing a 3.6% decrease from RMB32.9 million for the same period in 2024, primarily due to (i) a decrease in the general and administrative personnel’s staff cost; (ii) a decrease in amortized expense on share-based compensation; and partially offset by (i) an increase in impairment expenses for accounts receivables and contract assets; (iii) an increase in operating lease.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loss was RMB16.8 million (US$2.4 million) for the three months ended September 30, 2025, compared to RMB35.7 million for the same period in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were RMB467.0 million (US$65.6 million) as of September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Burning Rock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Burning Rock Biotech Limited (NASDAQ: BNR), whose mission is to guard life via science, focuses on the application of next generation sequencing (NGS) technology in the field of precision oncology. Its business consists of i) NGS-based therapy selection testing for late-stage cancer patients, and ii) cancer early detection, which has moved beyond proof-of-concept R&amp;D into the clinical validation stage.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Burning Rock, please visit: ir.brbiotech.com.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“target,” “confident” and similar statements. Burning Rock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Burning Rock’s beliefs and expectations, are forward-looking statements. Such statements are based upon management’s current expectations and current market and operating conditions, and relate to events that involve known or unknown risks, uncertainties and other factors, all of which are difficult to predict and many of which are beyond Burning Rock’s control. Forward-looking statements involve risks, uncertainties and other factors that could cause actual results to differ materially from those contained in any such statements. All information provided in this press release is as of the date of this press release, and Burning Rock does not undertake any obligation to update any forward-looking statement as a result of new information, future events or otherwise, except as required under applicable law.</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Measures</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measures, such as non-GAAP gross profit and non-GAAP gross margin, as supplemental measures to review and assess operating performance. The presentation of these non-GAAP financial measures is not intended to be considered in isolation or as a substitute for the financial information prepared and presented in accordance with accounting principles generally accepted in the United States of America (“U.S. GAAP”). The company defines non-GAAP gross profit as gross profit excluding depreciation and amortization. The company defines non-GAAP gross margin as gross margin excluding depreciation and amortization.</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presents these non-GAAP financial measures because they are used by management to evaluate operating performance and formulate business plans. The company believe non-GAAP gross profit and non-GAAP gross margin excluding non-cash impact of depreciation and amortization reflect the company’s ongoing business operations in a manner that allows more meaningful period-to-period comparisons.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Contact: IR@brbiotech.com</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66" w:right="539" w:bottom="1440" w:gutter="0" w:footer="0" w:header="0"/>
        </w:sectPr>
      </w:pPr>
    </w:p>
    <w:bookmarkStart w:id="7" w:name="page8"/>
    <w:bookmarkEnd w:id="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Operating Data</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5740" w:type="dxa"/>
            <w:vAlign w:val="bottom"/>
          </w:tcPr>
          <w:p>
            <w:pPr>
              <w:spacing w:after="0"/>
              <w:rPr>
                <w:sz w:val="10"/>
                <w:szCs w:val="10"/>
                <w:color w:val="auto"/>
              </w:rPr>
            </w:pPr>
          </w:p>
        </w:tc>
        <w:tc>
          <w:tcPr>
            <w:tcW w:w="1140" w:type="dxa"/>
            <w:vAlign w:val="bottom"/>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10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112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8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r>
      <w:tr>
        <w:trPr>
          <w:trHeight w:val="173"/>
        </w:trPr>
        <w:tc>
          <w:tcPr>
            <w:tcW w:w="57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4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In-hospital Channel:</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7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Pipeline partner hospitals</w:t>
            </w:r>
            <w:r>
              <w:rPr>
                <w:rFonts w:ascii="Times New Roman" w:cs="Times New Roman" w:eastAsia="Times New Roman" w:hAnsi="Times New Roman"/>
                <w:sz w:val="25"/>
                <w:szCs w:val="25"/>
                <w:color w:val="auto"/>
                <w:vertAlign w:val="superscript"/>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5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Contracted partner hospitals</w:t>
            </w:r>
            <w:r>
              <w:rPr>
                <w:rFonts w:ascii="Times New Roman" w:cs="Times New Roman" w:eastAsia="Times New Roman" w:hAnsi="Times New Roman"/>
                <w:sz w:val="25"/>
                <w:szCs w:val="25"/>
                <w:color w:val="auto"/>
                <w:vertAlign w:val="superscript"/>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63</w:t>
            </w:r>
          </w:p>
        </w:tc>
        <w:tc>
          <w:tcPr>
            <w:tcW w:w="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partner hospitals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93</w:t>
            </w:r>
          </w:p>
        </w:tc>
        <w:tc>
          <w:tcPr>
            <w:tcW w:w="4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60" w:type="dxa"/>
            <w:vAlign w:val="bottom"/>
          </w:tcPr>
          <w:p>
            <w:pPr>
              <w:spacing w:after="0"/>
              <w:rPr>
                <w:sz w:val="19"/>
                <w:szCs w:val="19"/>
                <w:color w:val="auto"/>
              </w:rPr>
            </w:pPr>
          </w:p>
        </w:tc>
      </w:tr>
    </w:tbl>
    <w:p>
      <w:pPr>
        <w:spacing w:after="0" w:line="117" w:lineRule="exact"/>
        <w:rPr>
          <w:sz w:val="20"/>
          <w:szCs w:val="20"/>
          <w:color w:val="auto"/>
        </w:rPr>
      </w:pPr>
    </w:p>
    <w:p>
      <w:pPr>
        <w:ind w:left="424" w:right="200" w:hanging="424"/>
        <w:spacing w:after="0" w:line="208"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Refers to hospitals that are in the process of establishing in-hospital laboratories, laboratory equipment procurement or installation, staff training or pilot testing using the Company’s products.</w:t>
      </w:r>
    </w:p>
    <w:p>
      <w:pPr>
        <w:spacing w:after="0" w:line="105" w:lineRule="exact"/>
        <w:rPr>
          <w:rFonts w:ascii="Times New Roman" w:cs="Times New Roman" w:eastAsia="Times New Roman" w:hAnsi="Times New Roman"/>
          <w:sz w:val="27"/>
          <w:szCs w:val="27"/>
          <w:color w:val="auto"/>
          <w:vertAlign w:val="superscript"/>
        </w:rPr>
      </w:pPr>
    </w:p>
    <w:p>
      <w:pPr>
        <w:ind w:left="424" w:right="140" w:hanging="424"/>
        <w:spacing w:after="0" w:line="208"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Refers to hospitals that have entered into contracts to purchase the Company’s products for use on a recurring basis in their respective in-hospital laboratories the Company helped them establish. Kit revenue is generated from contracted hospitals.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Financial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5"/>
                <w:szCs w:val="15"/>
                <w:color w:val="auto"/>
              </w:rPr>
            </w:pPr>
          </w:p>
        </w:tc>
        <w:tc>
          <w:tcPr>
            <w:tcW w:w="2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17"/>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jc w:val="right"/>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140" w:type="dxa"/>
            <w:vAlign w:val="bottom"/>
            <w:tcBorders>
              <w:top w:val="single" w:sz="8" w:color="auto"/>
            </w:tcBorders>
            <w:gridSpan w:val="2"/>
          </w:tcPr>
          <w:p>
            <w:pPr>
              <w:jc w:val="center"/>
              <w:ind w:left="177"/>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60" w:type="dxa"/>
            <w:vAlign w:val="bottom"/>
            <w:tcBorders>
              <w:top w:val="single" w:sz="8" w:color="auto"/>
            </w:tcBorders>
          </w:tcPr>
          <w:p>
            <w:pPr>
              <w:jc w:val="center"/>
              <w:ind w:left="97"/>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3040" w:type="dxa"/>
            <w:vAlign w:val="bottom"/>
            <w:gridSpan w:val="3"/>
          </w:tcPr>
          <w:p>
            <w:pPr>
              <w:ind w:left="2360"/>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980" w:type="dxa"/>
            <w:vAlign w:val="bottom"/>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Borders>
              <w:top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3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39,984</w:t>
            </w: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36,811</w:t>
            </w:r>
          </w:p>
        </w:tc>
        <w:tc>
          <w:tcPr>
            <w:tcW w:w="11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136,371</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115,968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3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63,769</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52,847</w:t>
            </w:r>
          </w:p>
        </w:tc>
        <w:tc>
          <w:tcPr>
            <w:tcW w:w="112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181,028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173,030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3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24,891</w:t>
            </w: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41,959</w:t>
            </w:r>
          </w:p>
        </w:tc>
        <w:tc>
          <w:tcPr>
            <w:tcW w:w="11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72,401</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124,255</w:t>
            </w: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128,644</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131,617</w:t>
            </w:r>
          </w:p>
        </w:tc>
        <w:tc>
          <w:tcPr>
            <w:tcW w:w="112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b w:val="1"/>
                <w:bCs w:val="1"/>
                <w:color w:val="auto"/>
              </w:rPr>
              <w:t>389,800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413,253</w:t>
            </w:r>
          </w:p>
        </w:tc>
        <w:tc>
          <w:tcPr>
            <w:tcW w:w="0" w:type="dxa"/>
            <w:vAlign w:val="bottom"/>
          </w:tcPr>
          <w:p>
            <w:pPr>
              <w:spacing w:after="0"/>
              <w:rPr>
                <w:sz w:val="1"/>
                <w:szCs w:val="1"/>
                <w:color w:val="auto"/>
              </w:rPr>
            </w:pPr>
          </w:p>
        </w:tc>
      </w:tr>
      <w:tr>
        <w:trPr>
          <w:trHeight w:val="369"/>
        </w:trPr>
        <w:tc>
          <w:tcPr>
            <w:tcW w:w="4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24"/>
                <w:szCs w:val="24"/>
                <w:color w:val="auto"/>
              </w:rPr>
            </w:pPr>
          </w:p>
        </w:tc>
        <w:tc>
          <w:tcPr>
            <w:tcW w:w="2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17"/>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location of customer</w:t>
            </w:r>
          </w:p>
        </w:tc>
        <w:tc>
          <w:tcPr>
            <w:tcW w:w="2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jc w:val="right"/>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140" w:type="dxa"/>
            <w:vAlign w:val="bottom"/>
            <w:tcBorders>
              <w:top w:val="single" w:sz="8" w:color="auto"/>
            </w:tcBorders>
            <w:gridSpan w:val="2"/>
          </w:tcPr>
          <w:p>
            <w:pPr>
              <w:jc w:val="center"/>
              <w:ind w:left="177"/>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60" w:type="dxa"/>
            <w:vAlign w:val="bottom"/>
            <w:tcBorders>
              <w:top w:val="single" w:sz="8" w:color="auto"/>
            </w:tcBorders>
          </w:tcPr>
          <w:p>
            <w:pPr>
              <w:jc w:val="center"/>
              <w:ind w:left="97"/>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3040" w:type="dxa"/>
            <w:vAlign w:val="bottom"/>
            <w:gridSpan w:val="3"/>
          </w:tcPr>
          <w:p>
            <w:pPr>
              <w:ind w:left="2360"/>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980" w:type="dxa"/>
            <w:vAlign w:val="bottom"/>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Borders>
              <w:top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Overseas</w:t>
            </w:r>
          </w:p>
        </w:tc>
        <w:tc>
          <w:tcPr>
            <w:tcW w:w="3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25,840</w:t>
            </w: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17,214</w:t>
            </w:r>
          </w:p>
        </w:tc>
        <w:tc>
          <w:tcPr>
            <w:tcW w:w="11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59,553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79,079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3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102,804</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114,403</w:t>
            </w:r>
          </w:p>
        </w:tc>
        <w:tc>
          <w:tcPr>
            <w:tcW w:w="112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330,247</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334,174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128,644</w:t>
            </w: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131,617</w:t>
            </w:r>
          </w:p>
        </w:tc>
        <w:tc>
          <w:tcPr>
            <w:tcW w:w="11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b w:val="1"/>
                <w:bCs w:val="1"/>
                <w:color w:val="auto"/>
              </w:rPr>
              <w:t>389,800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413,253</w:t>
            </w:r>
          </w:p>
        </w:tc>
        <w:tc>
          <w:tcPr>
            <w:tcW w:w="0" w:type="dxa"/>
            <w:vAlign w:val="bottom"/>
          </w:tcPr>
          <w:p>
            <w:pPr>
              <w:spacing w:after="0"/>
              <w:rPr>
                <w:sz w:val="1"/>
                <w:szCs w:val="1"/>
                <w:color w:val="auto"/>
              </w:rPr>
            </w:pPr>
          </w:p>
        </w:tc>
      </w:tr>
      <w:tr>
        <w:trPr>
          <w:trHeight w:val="391"/>
        </w:trPr>
        <w:tc>
          <w:tcPr>
            <w:tcW w:w="4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24"/>
                <w:szCs w:val="24"/>
                <w:color w:val="auto"/>
              </w:rPr>
            </w:pPr>
          </w:p>
        </w:tc>
        <w:tc>
          <w:tcPr>
            <w:tcW w:w="2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17"/>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jc w:val="right"/>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140" w:type="dxa"/>
            <w:vAlign w:val="bottom"/>
            <w:tcBorders>
              <w:top w:val="single" w:sz="8" w:color="auto"/>
            </w:tcBorders>
            <w:gridSpan w:val="2"/>
          </w:tcPr>
          <w:p>
            <w:pPr>
              <w:jc w:val="center"/>
              <w:ind w:left="177"/>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60" w:type="dxa"/>
            <w:vAlign w:val="bottom"/>
            <w:tcBorders>
              <w:top w:val="single" w:sz="8" w:color="auto"/>
            </w:tcBorders>
          </w:tcPr>
          <w:p>
            <w:pPr>
              <w:jc w:val="center"/>
              <w:ind w:left="97"/>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3040" w:type="dxa"/>
            <w:vAlign w:val="bottom"/>
            <w:gridSpan w:val="3"/>
          </w:tcPr>
          <w:p>
            <w:pPr>
              <w:ind w:left="2360"/>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980" w:type="dxa"/>
            <w:vAlign w:val="bottom"/>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Borders>
              <w:top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3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33,262</w:t>
            </w: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30,126</w:t>
            </w:r>
          </w:p>
        </w:tc>
        <w:tc>
          <w:tcPr>
            <w:tcW w:w="11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108,688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98,254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3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46,580</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37,925</w:t>
            </w:r>
          </w:p>
        </w:tc>
        <w:tc>
          <w:tcPr>
            <w:tcW w:w="112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129,830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128,310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3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12,004</w:t>
            </w: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30,793</w:t>
            </w:r>
          </w:p>
        </w:tc>
        <w:tc>
          <w:tcPr>
            <w:tcW w:w="11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34,460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77,784</w:t>
            </w: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3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91,846</w:t>
            </w: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98,844</w:t>
            </w:r>
          </w:p>
        </w:tc>
        <w:tc>
          <w:tcPr>
            <w:tcW w:w="112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b w:val="1"/>
                <w:bCs w:val="1"/>
                <w:color w:val="auto"/>
              </w:rPr>
              <w:t>272,978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304,348</w:t>
            </w:r>
          </w:p>
        </w:tc>
        <w:tc>
          <w:tcPr>
            <w:tcW w:w="0" w:type="dxa"/>
            <w:vAlign w:val="bottom"/>
          </w:tcPr>
          <w:p>
            <w:pPr>
              <w:spacing w:after="0"/>
              <w:rPr>
                <w:sz w:val="1"/>
                <w:szCs w:val="1"/>
                <w:color w:val="auto"/>
              </w:rPr>
            </w:pPr>
          </w:p>
        </w:tc>
      </w:tr>
      <w:tr>
        <w:trPr>
          <w:trHeight w:val="369"/>
        </w:trPr>
        <w:tc>
          <w:tcPr>
            <w:tcW w:w="4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24"/>
                <w:szCs w:val="24"/>
                <w:color w:val="auto"/>
              </w:rPr>
            </w:pPr>
          </w:p>
        </w:tc>
        <w:tc>
          <w:tcPr>
            <w:tcW w:w="21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17"/>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Share-based compensation expenses</w:t>
            </w:r>
          </w:p>
        </w:tc>
        <w:tc>
          <w:tcPr>
            <w:tcW w:w="204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270"/>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9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gridSpan w:val="2"/>
          </w:tcPr>
          <w:p>
            <w:pPr>
              <w:spacing w:after="0"/>
              <w:rPr>
                <w:sz w:val="10"/>
                <w:szCs w:val="10"/>
                <w:color w:val="auto"/>
              </w:rPr>
            </w:pPr>
          </w:p>
        </w:tc>
        <w:tc>
          <w:tcPr>
            <w:tcW w:w="1120" w:type="dxa"/>
            <w:vAlign w:val="bottom"/>
            <w:tcBorders>
              <w:top w:val="single" w:sz="8" w:color="auto"/>
            </w:tcBorders>
            <w:gridSpan w:val="2"/>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60" w:type="dxa"/>
            <w:vAlign w:val="bottom"/>
            <w:tcBorders>
              <w:top w:val="single" w:sz="8" w:color="auto"/>
            </w:tcBorders>
          </w:tcPr>
          <w:p>
            <w:pPr>
              <w:jc w:val="center"/>
              <w:ind w:left="97"/>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304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44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2"/>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289</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8"/>
                <w:szCs w:val="18"/>
                <w:color w:val="auto"/>
              </w:rPr>
              <w:t>1,349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3,180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8"/>
                <w:szCs w:val="18"/>
                <w:color w:val="auto"/>
              </w:rPr>
            </w:pPr>
          </w:p>
        </w:tc>
        <w:tc>
          <w:tcPr>
            <w:tcW w:w="112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27,475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0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1,917</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8"/>
                <w:szCs w:val="18"/>
                <w:color w:val="auto"/>
              </w:rPr>
              <w:t>3,657</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4,732</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2,831</w:t>
            </w:r>
          </w:p>
        </w:tc>
        <w:tc>
          <w:tcPr>
            <w:tcW w:w="280" w:type="dxa"/>
            <w:vAlign w:val="bottom"/>
          </w:tcPr>
          <w:p>
            <w:pPr>
              <w:spacing w:after="0"/>
              <w:rPr>
                <w:sz w:val="18"/>
                <w:szCs w:val="18"/>
                <w:color w:val="auto"/>
              </w:rPr>
            </w:pPr>
          </w:p>
        </w:tc>
        <w:tc>
          <w:tcPr>
            <w:tcW w:w="112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115,129</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30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10,118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3,829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8"/>
                <w:szCs w:val="18"/>
                <w:b w:val="1"/>
                <w:bCs w:val="1"/>
                <w:color w:val="auto"/>
              </w:rPr>
              <w:t>147,610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10,754</w:t>
            </w:r>
          </w:p>
        </w:tc>
        <w:tc>
          <w:tcPr>
            <w:tcW w:w="0" w:type="dxa"/>
            <w:vAlign w:val="bottom"/>
          </w:tcPr>
          <w:p>
            <w:pPr>
              <w:spacing w:after="0"/>
              <w:rPr>
                <w:sz w:val="1"/>
                <w:szCs w:val="1"/>
                <w:color w:val="auto"/>
              </w:rPr>
            </w:pPr>
          </w:p>
        </w:tc>
      </w:tr>
      <w:tr>
        <w:trPr>
          <w:trHeight w:val="365"/>
        </w:trPr>
        <w:tc>
          <w:tcPr>
            <w:tcW w:w="4320" w:type="dxa"/>
            <w:vAlign w:val="bottom"/>
          </w:tcPr>
          <w:p>
            <w:pPr>
              <w:spacing w:after="0"/>
              <w:rPr>
                <w:sz w:val="24"/>
                <w:szCs w:val="24"/>
                <w:color w:val="auto"/>
              </w:rPr>
            </w:pPr>
          </w:p>
        </w:tc>
        <w:tc>
          <w:tcPr>
            <w:tcW w:w="20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Burning Rock Biotech Limited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Comprehensive Loss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i w:val="1"/>
          <w:iCs w:val="1"/>
          <w:color w:val="auto"/>
        </w:rPr>
        <w:t>(in thousands, except for number of shares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1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31,2024</w:t>
            </w:r>
          </w:p>
        </w:tc>
        <w:tc>
          <w:tcPr>
            <w:tcW w:w="80" w:type="dxa"/>
            <w:vAlign w:val="bottom"/>
          </w:tcPr>
          <w:p>
            <w:pPr>
              <w:spacing w:after="0"/>
              <w:rPr>
                <w:sz w:val="10"/>
                <w:szCs w:val="10"/>
                <w:color w:val="auto"/>
              </w:rPr>
            </w:pPr>
          </w:p>
        </w:tc>
        <w:tc>
          <w:tcPr>
            <w:tcW w:w="10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128,644</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126,022</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133,082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148,554</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131,617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18,488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(36,798)</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(36,600)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(35,681)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(40,451)</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(32,773)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(4,604)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91,846</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89,422</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97,401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108,103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98,844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13,884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(49,150)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(52,203)</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(40,389)</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(49,770)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(41,469)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(48,411)</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(46,730)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(40,888)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(38,413)</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(41,808)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(32,874)</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(37,289)</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(31,303)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(31,417)</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(31,698)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(35,127)</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(130,435)</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(171,349)</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(112,580)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(119,600)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(114,975)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(16,151)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(38,589)</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(11,497)</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(16,131)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1,814</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2,226</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4,353</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net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(35,544)</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(75,980)</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(13,276)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(9,458)</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(16,546)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(2,325)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(5,314)</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(35,745)</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(81,294)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(13,500)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(9,702)</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(16,758)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(2,355)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Burning Rock Biotech</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Limited’s shareholders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(35,745)</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(81,294)</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(9,702)</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(16,758)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(2,355)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(35,745)</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(81,294)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(13,500)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(9,702)</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(16,758)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(2,355)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for class A and class B ordinary shares: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(0.35)</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(0.79)</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(0.35)</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(0.79)</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(0.02)</w:t>
            </w: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 loss per</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 computation:</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85,902,670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86,036,286</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90,291,658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90,357,970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90,416,619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90,416,619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17,324,848</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17,324,848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17,324,848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 of nil: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(4,054)</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6,009</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(39,799)</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(75,285)</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(13,572)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(9,945)</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(18,482)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(2,597)</w:t>
            </w: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loss attributable to Burning Rock</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Biotech Limited’s shareholders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(39,799)</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(75,285)</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(13,572)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(9,945)</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(18,482)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(2,597)</w:t>
            </w:r>
          </w:p>
        </w:tc>
        <w:tc>
          <w:tcPr>
            <w:tcW w:w="0" w:type="dxa"/>
            <w:vAlign w:val="bottom"/>
          </w:tcPr>
          <w:p>
            <w:pPr>
              <w:spacing w:after="0"/>
              <w:rPr>
                <w:sz w:val="1"/>
                <w:szCs w:val="1"/>
                <w:color w:val="auto"/>
              </w:rPr>
            </w:pPr>
          </w:p>
        </w:tc>
      </w:tr>
      <w:tr>
        <w:trPr>
          <w:trHeight w:val="365"/>
        </w:trPr>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Comprehensive Loss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i w:val="1"/>
          <w:iCs w:val="1"/>
          <w:color w:val="auto"/>
        </w:rPr>
        <w:t>(in thousands, except for number of shares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32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17"/>
        </w:trPr>
        <w:tc>
          <w:tcPr>
            <w:tcW w:w="782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0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r>
      <w:tr>
        <w:trPr>
          <w:trHeight w:val="173"/>
        </w:trPr>
        <w:tc>
          <w:tcPr>
            <w:tcW w:w="78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r>
      <w:tr>
        <w:trPr>
          <w:trHeight w:val="142"/>
        </w:trPr>
        <w:tc>
          <w:tcPr>
            <w:tcW w:w="78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389,800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413,253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58,049</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(116,822)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(108,905)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(15,299)</w:t>
            </w:r>
          </w:p>
        </w:tc>
      </w:tr>
      <w:tr>
        <w:trPr>
          <w:trHeight w:val="27"/>
        </w:trPr>
        <w:tc>
          <w:tcPr>
            <w:tcW w:w="7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272,978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304,348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42,750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(180,087)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(131,628)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(18,490)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(144,174)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(121,109)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(17,012)</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(224,349)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(94,418)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(13,263)</w:t>
            </w: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(548,610)</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(347,155)</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(48,765)</w:t>
            </w:r>
          </w:p>
        </w:tc>
        <w:tc>
          <w:tcPr>
            <w:tcW w:w="120" w:type="dxa"/>
            <w:vAlign w:val="bottom"/>
          </w:tcPr>
          <w:p>
            <w:pPr>
              <w:spacing w:after="0"/>
              <w:rPr>
                <w:sz w:val="20"/>
                <w:szCs w:val="20"/>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(275,632)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(42,807)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(6,015)</w:t>
            </w: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(264,761)</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(39,280)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(5,519)</w:t>
            </w:r>
          </w:p>
        </w:tc>
        <w:tc>
          <w:tcPr>
            <w:tcW w:w="12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(265,332)</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(39,960)</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(5,615)</w:t>
            </w:r>
          </w:p>
        </w:tc>
        <w:tc>
          <w:tcPr>
            <w:tcW w:w="1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Burning Rock Biotech Limited’s shareholders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(265,332)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(39,960)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(5,615)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(265,332)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(39,960)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(5,615)</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for class A and class B ordinary shares: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shares—basic and diluted</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shares—basic and diluted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used in loss per share computation:</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shares—basic and diluted</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85,467,131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90,332,672</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90,332,672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shares—basic and diluted</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17,324,848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17,324,848</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 of nil:</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(267,856)</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(41,999)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(5,901)</w:t>
            </w:r>
          </w:p>
        </w:tc>
      </w:t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Burning Rock Biotech Limited’s shareholders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(267,856)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(41,999)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(5,901)</w:t>
            </w:r>
          </w:p>
        </w:tc>
      </w:tr>
      <w:tr>
        <w:trPr>
          <w:trHeight w:val="342"/>
        </w:trPr>
        <w:tc>
          <w:tcPr>
            <w:tcW w:w="78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2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4260" w:type="dxa"/>
            <w:vAlign w:val="bottom"/>
            <w:gridSpan w:val="2"/>
          </w:tcPr>
          <w:p>
            <w:pPr>
              <w:jc w:val="center"/>
              <w:ind w:left="33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519,849</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463,994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65,177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2,313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2,985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152,013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183,841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25,824</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net</w:t>
            </w:r>
          </w:p>
        </w:tc>
        <w:tc>
          <w:tcPr>
            <w:tcW w:w="4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13,855</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13,049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4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62,625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54,469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7,651</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3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3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20,985</w:t>
            </w:r>
          </w:p>
        </w:tc>
        <w:tc>
          <w:tcPr>
            <w:tcW w:w="3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776,618</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739,323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103,854</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4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47,152</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33,755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4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53,188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32,281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3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3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108,687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72,845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10,232</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885,305</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812,168</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20" w:type="dxa"/>
            <w:vAlign w:val="bottom"/>
            <w:vMerge w:val="restart"/>
          </w:tcPr>
          <w:p>
            <w:pPr>
              <w:jc w:val="right"/>
              <w:ind w:right="2012"/>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1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500" w:type="dxa"/>
            <w:vAlign w:val="bottom"/>
            <w:gridSpan w:val="2"/>
          </w:tcPr>
          <w:p>
            <w:pPr>
              <w:jc w:val="center"/>
              <w:ind w:left="25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33,747</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34,277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117,895</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106,448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14,953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89,498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76,992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10,816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592</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24,567</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16,603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266,299</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235,112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33,027</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27,754</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14,577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10,425</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11,102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38,179</w:t>
            </w: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27,479</w:t>
            </w: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304,478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262,591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36,887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3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3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5,002,255</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5,006,937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703,320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3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(63,264)</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(57,193)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3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(4,200,261)</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(4,240,221)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(595,620)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(158,048)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(160,087)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(22,487)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580,827</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549,577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77,199</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885,305</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812,168</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60" w:type="dxa"/>
            <w:vAlign w:val="bottom"/>
            <w:vMerge w:val="restart"/>
          </w:tcPr>
          <w:p>
            <w:pPr>
              <w:jc w:val="right"/>
              <w:ind w:right="2031"/>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1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360" w:type="dxa"/>
            <w:vAlign w:val="bottom"/>
            <w:gridSpan w:val="4"/>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80" w:type="dxa"/>
            <w:vAlign w:val="bottom"/>
            <w:gridSpan w:val="4"/>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r>
      <w:tr>
        <w:trPr>
          <w:trHeight w:val="173"/>
        </w:trPr>
        <w:tc>
          <w:tcPr>
            <w:tcW w:w="5160" w:type="dxa"/>
            <w:vAlign w:val="bottom"/>
          </w:tcPr>
          <w:p>
            <w:pPr>
              <w:spacing w:after="0"/>
              <w:rPr>
                <w:sz w:val="15"/>
                <w:szCs w:val="15"/>
                <w:color w:val="auto"/>
              </w:rPr>
            </w:pPr>
          </w:p>
        </w:tc>
        <w:tc>
          <w:tcPr>
            <w:tcW w:w="2980" w:type="dxa"/>
            <w:vAlign w:val="bottom"/>
            <w:gridSpan w:val="3"/>
          </w:tcPr>
          <w:p>
            <w:pPr>
              <w:jc w:val="center"/>
              <w:ind w:left="20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60" w:type="dxa"/>
            <w:vAlign w:val="bottom"/>
            <w:gridSpan w:val="4"/>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(30,278)</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16,394</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360" w:type="dxa"/>
            <w:vAlign w:val="bottom"/>
            <w:gridSpan w:val="4"/>
          </w:tcPr>
          <w:p>
            <w:pPr>
              <w:jc w:val="right"/>
              <w:ind w:right="228"/>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(2,747)</w:t>
            </w: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3360" w:type="dxa"/>
            <w:vAlign w:val="bottom"/>
            <w:gridSpan w:val="4"/>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3360" w:type="dxa"/>
            <w:vAlign w:val="bottom"/>
            <w:gridSpan w:val="4"/>
          </w:tcPr>
          <w:p>
            <w:pPr>
              <w:jc w:val="right"/>
              <w:ind w:right="228"/>
              <w:spacing w:after="0"/>
              <w:rPr>
                <w:sz w:val="20"/>
                <w:szCs w:val="20"/>
                <w:color w:val="auto"/>
              </w:rPr>
            </w:pPr>
            <w:r>
              <w:rPr>
                <w:rFonts w:ascii="Times New Roman" w:cs="Times New Roman" w:eastAsia="Times New Roman" w:hAnsi="Times New Roman"/>
                <w:sz w:val="18"/>
                <w:szCs w:val="18"/>
                <w:color w:val="auto"/>
              </w:rPr>
              <w:t>(3,537)</w:t>
            </w:r>
          </w:p>
        </w:tc>
        <w:tc>
          <w:tcPr>
            <w:tcW w:w="12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(1,692)</w:t>
            </w: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360" w:type="dxa"/>
            <w:vAlign w:val="bottom"/>
            <w:gridSpan w:val="4"/>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(34,800)</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11,955</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1,680</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3360" w:type="dxa"/>
            <w:vAlign w:val="bottom"/>
            <w:gridSpan w:val="4"/>
          </w:tcPr>
          <w:p>
            <w:pPr>
              <w:jc w:val="right"/>
              <w:ind w:right="288"/>
              <w:spacing w:after="0"/>
              <w:rPr>
                <w:sz w:val="20"/>
                <w:szCs w:val="20"/>
                <w:color w:val="auto"/>
              </w:rPr>
            </w:pPr>
            <w:r>
              <w:rPr>
                <w:rFonts w:ascii="Times New Roman" w:cs="Times New Roman" w:eastAsia="Times New Roman" w:hAnsi="Times New Roman"/>
                <w:sz w:val="18"/>
                <w:szCs w:val="18"/>
                <w:color w:val="auto"/>
              </w:rPr>
              <w:t>533,047</w:t>
            </w:r>
          </w:p>
        </w:tc>
        <w:tc>
          <w:tcPr>
            <w:tcW w:w="1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455,024</w:t>
            </w:r>
          </w:p>
        </w:tc>
        <w:tc>
          <w:tcPr>
            <w:tcW w:w="4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63,916</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period</w:t>
            </w:r>
          </w:p>
        </w:tc>
        <w:tc>
          <w:tcPr>
            <w:tcW w:w="3360" w:type="dxa"/>
            <w:vAlign w:val="bottom"/>
            <w:gridSpan w:val="4"/>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498,247</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466,979</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65,596</w:t>
            </w:r>
          </w:p>
        </w:tc>
      </w:tr>
      <w:tr>
        <w:trPr>
          <w:trHeight w:val="392"/>
        </w:trPr>
        <w:tc>
          <w:tcPr>
            <w:tcW w:w="5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gridSpan w:val="8"/>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17"/>
        </w:trPr>
        <w:tc>
          <w:tcPr>
            <w:tcW w:w="51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Borders>
              <w:top w:val="single" w:sz="8" w:color="auto"/>
            </w:tcBorders>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r>
      <w:tr>
        <w:trPr>
          <w:trHeight w:val="173"/>
        </w:trPr>
        <w:tc>
          <w:tcPr>
            <w:tcW w:w="5160" w:type="dxa"/>
            <w:vAlign w:val="bottom"/>
          </w:tcPr>
          <w:p>
            <w:pPr>
              <w:spacing w:after="0"/>
              <w:rPr>
                <w:sz w:val="15"/>
                <w:szCs w:val="15"/>
                <w:color w:val="auto"/>
              </w:rPr>
            </w:pPr>
          </w:p>
        </w:tc>
        <w:tc>
          <w:tcPr>
            <w:tcW w:w="3360" w:type="dxa"/>
            <w:vAlign w:val="bottom"/>
            <w:gridSpan w:val="4"/>
          </w:tcPr>
          <w:p>
            <w:pPr>
              <w:jc w:val="center"/>
              <w:ind w:left="23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880" w:type="dxa"/>
            <w:vAlign w:val="bottom"/>
            <w:gridSpan w:val="2"/>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(111,323)</w:t>
            </w:r>
          </w:p>
        </w:tc>
        <w:tc>
          <w:tcPr>
            <w:tcW w:w="13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(51,482)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(3,600)</w:t>
            </w:r>
          </w:p>
        </w:tc>
        <w:tc>
          <w:tcPr>
            <w:tcW w:w="13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(4,071)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34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34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(2,048)</w:t>
            </w:r>
          </w:p>
        </w:tc>
        <w:tc>
          <w:tcPr>
            <w:tcW w:w="13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(1,630)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4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(116,969)</w:t>
            </w:r>
          </w:p>
        </w:tc>
        <w:tc>
          <w:tcPr>
            <w:tcW w:w="13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(55,183)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(7,752)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34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615,216</w:t>
            </w:r>
          </w:p>
        </w:tc>
        <w:tc>
          <w:tcPr>
            <w:tcW w:w="13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522,162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73,348</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period</w:t>
            </w:r>
          </w:p>
        </w:tc>
        <w:tc>
          <w:tcPr>
            <w:tcW w:w="34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498,247</w:t>
            </w:r>
          </w:p>
        </w:tc>
        <w:tc>
          <w:tcPr>
            <w:tcW w:w="13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466,979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65,596</w:t>
            </w:r>
          </w:p>
        </w:tc>
      </w:tr>
      <w:tr>
        <w:trPr>
          <w:trHeight w:val="364"/>
        </w:trPr>
        <w:tc>
          <w:tcPr>
            <w:tcW w:w="5160" w:type="dxa"/>
            <w:vAlign w:val="bottom"/>
          </w:tcPr>
          <w:p>
            <w:pPr>
              <w:spacing w:after="0"/>
              <w:rPr>
                <w:sz w:val="24"/>
                <w:szCs w:val="24"/>
                <w:color w:val="auto"/>
              </w:rPr>
            </w:pPr>
          </w:p>
        </w:tc>
        <w:tc>
          <w:tcPr>
            <w:tcW w:w="2120" w:type="dxa"/>
            <w:vAlign w:val="bottom"/>
          </w:tcPr>
          <w:p>
            <w:pPr>
              <w:jc w:val="right"/>
              <w:ind w:right="1592"/>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4780" w:type="dxa"/>
            <w:vAlign w:val="bottom"/>
          </w:tcPr>
          <w:p>
            <w:pPr>
              <w:spacing w:after="0"/>
              <w:rPr>
                <w:sz w:val="10"/>
                <w:szCs w:val="10"/>
                <w:color w:val="auto"/>
              </w:rPr>
            </w:pPr>
          </w:p>
        </w:tc>
        <w:tc>
          <w:tcPr>
            <w:tcW w:w="140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0" w:type="dxa"/>
            <w:vAlign w:val="bottom"/>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320" w:type="dxa"/>
            <w:vAlign w:val="bottom"/>
          </w:tcPr>
          <w:p>
            <w:pPr>
              <w:jc w:val="right"/>
              <w:ind w:right="433"/>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20" w:type="dxa"/>
            <w:vAlign w:val="bottom"/>
          </w:tcPr>
          <w:p>
            <w:pPr>
              <w:jc w:val="right"/>
              <w:ind w:right="33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60" w:type="dxa"/>
            <w:vAlign w:val="bottom"/>
          </w:tcPr>
          <w:p>
            <w:pPr>
              <w:jc w:val="center"/>
              <w:ind w:left="92"/>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r>
      <w:tr>
        <w:trPr>
          <w:trHeight w:val="173"/>
        </w:trPr>
        <w:tc>
          <w:tcPr>
            <w:tcW w:w="4780" w:type="dxa"/>
            <w:vAlign w:val="bottom"/>
          </w:tcPr>
          <w:p>
            <w:pPr>
              <w:spacing w:after="0"/>
              <w:rPr>
                <w:sz w:val="15"/>
                <w:szCs w:val="15"/>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gridSpan w:val="2"/>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33,262</w:t>
            </w:r>
          </w:p>
        </w:tc>
        <w:tc>
          <w:tcPr>
            <w:tcW w:w="12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33,153</w:t>
            </w:r>
          </w:p>
        </w:tc>
        <w:tc>
          <w:tcPr>
            <w:tcW w:w="13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32,191</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35,937</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30,126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46,580</w:t>
            </w:r>
          </w:p>
        </w:tc>
        <w:tc>
          <w:tcPr>
            <w:tcW w:w="12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29,563</w:t>
            </w:r>
          </w:p>
        </w:tc>
        <w:tc>
          <w:tcPr>
            <w:tcW w:w="132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43,895</w:t>
            </w: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46,490</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37,925</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12,004</w:t>
            </w:r>
          </w:p>
        </w:tc>
        <w:tc>
          <w:tcPr>
            <w:tcW w:w="12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26,706</w:t>
            </w:r>
          </w:p>
        </w:tc>
        <w:tc>
          <w:tcPr>
            <w:tcW w:w="13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21,315</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25,676</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30,793</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91,846</w:t>
            </w:r>
          </w:p>
        </w:tc>
        <w:tc>
          <w:tcPr>
            <w:tcW w:w="12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89,422</w:t>
            </w:r>
          </w:p>
        </w:tc>
        <w:tc>
          <w:tcPr>
            <w:tcW w:w="132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rPr>
              <w:t>97,401</w:t>
            </w: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108,103</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98,844</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 depreciation and amortization:</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1,277</w:t>
            </w:r>
          </w:p>
        </w:tc>
        <w:tc>
          <w:tcPr>
            <w:tcW w:w="12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1,010</w:t>
            </w:r>
          </w:p>
        </w:tc>
        <w:tc>
          <w:tcPr>
            <w:tcW w:w="132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562</w:t>
            </w: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456</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798</w:t>
            </w:r>
          </w:p>
        </w:tc>
        <w:tc>
          <w:tcPr>
            <w:tcW w:w="12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623</w:t>
            </w:r>
          </w:p>
        </w:tc>
        <w:tc>
          <w:tcPr>
            <w:tcW w:w="13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290</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389</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3,846</w:t>
            </w:r>
          </w:p>
        </w:tc>
        <w:tc>
          <w:tcPr>
            <w:tcW w:w="12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2,534</w:t>
            </w:r>
          </w:p>
        </w:tc>
        <w:tc>
          <w:tcPr>
            <w:tcW w:w="132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2,412</w:t>
            </w: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1,528</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1,491</w:t>
            </w:r>
          </w:p>
        </w:tc>
      </w:tr>
      <w:tr>
        <w:trPr>
          <w:trHeight w:val="194"/>
        </w:trPr>
        <w:tc>
          <w:tcPr>
            <w:tcW w:w="4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depreciation and amortization included in cost of</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8"/>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5,921</w:t>
            </w:r>
          </w:p>
        </w:tc>
        <w:tc>
          <w:tcPr>
            <w:tcW w:w="120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4,167</w:t>
            </w:r>
          </w:p>
        </w:tc>
        <w:tc>
          <w:tcPr>
            <w:tcW w:w="1320" w:type="dxa"/>
            <w:vAlign w:val="bottom"/>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rPr>
              <w:t>3,264</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2,373</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2,094</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34,539</w:t>
            </w:r>
          </w:p>
        </w:tc>
        <w:tc>
          <w:tcPr>
            <w:tcW w:w="12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34,163</w:t>
            </w:r>
          </w:p>
        </w:tc>
        <w:tc>
          <w:tcPr>
            <w:tcW w:w="13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32,753</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36,393</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30,357</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47,378</w:t>
            </w:r>
          </w:p>
        </w:tc>
        <w:tc>
          <w:tcPr>
            <w:tcW w:w="12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30,186</w:t>
            </w:r>
          </w:p>
        </w:tc>
        <w:tc>
          <w:tcPr>
            <w:tcW w:w="132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44,185</w:t>
            </w: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46,879</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38,297</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15,850</w:t>
            </w:r>
          </w:p>
        </w:tc>
        <w:tc>
          <w:tcPr>
            <w:tcW w:w="12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29,240</w:t>
            </w:r>
          </w:p>
        </w:tc>
        <w:tc>
          <w:tcPr>
            <w:tcW w:w="13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23,727</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27,204</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32,284</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non-GAAP gross profit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97,767</w:t>
            </w:r>
          </w:p>
        </w:tc>
        <w:tc>
          <w:tcPr>
            <w:tcW w:w="12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93,589</w:t>
            </w:r>
          </w:p>
        </w:tc>
        <w:tc>
          <w:tcPr>
            <w:tcW w:w="132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rPr>
              <w:t>100,665</w:t>
            </w: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110,476</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100,938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gross margin:</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86.4%</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87.0%</w:t>
            </w:r>
          </w:p>
        </w:tc>
        <w:tc>
          <w:tcPr>
            <w:tcW w:w="13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85.5%</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89.1%</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74.3%</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69.5%</w:t>
            </w: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76.6%</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75.0%</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63.7%</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67.6%</w:t>
            </w:r>
          </w:p>
        </w:tc>
        <w:tc>
          <w:tcPr>
            <w:tcW w:w="13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64.0%</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60.2%</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76.9%</w:t>
            </w: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non-GAAP gross margin</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76.0%</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74.3%</w:t>
            </w:r>
          </w:p>
        </w:tc>
        <w:tc>
          <w:tcPr>
            <w:tcW w:w="132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75.6%</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74.4%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76.7%</w:t>
            </w:r>
          </w:p>
        </w:tc>
      </w:tr>
      <w:tr>
        <w:trPr>
          <w:trHeight w:val="342"/>
        </w:trPr>
        <w:tc>
          <w:tcPr>
            <w:tcW w:w="4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2025-11-20T05:18:24Z</dcterms:created>
  <dcterms:modified xsi:type="dcterms:W3CDTF">2025-11-20T05:18:24Z</dcterms:modified>
</cp:coreProperties>
</file>